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E4A41" w:rsidRPr="009E4A41" w:rsidRDefault="009E4A41" w:rsidP="009E4A41">
      <w:pPr>
        <w:jc w:val="center"/>
        <w:rPr>
          <w:rFonts w:eastAsia="ＭＳ 明朝"/>
          <w:sz w:val="32"/>
          <w:szCs w:val="32"/>
        </w:rPr>
      </w:pPr>
      <w:r>
        <w:rPr>
          <w:rFonts w:eastAsia="ＭＳ 明朝"/>
          <w:sz w:val="32"/>
          <w:szCs w:val="32"/>
        </w:rPr>
        <w:t>MTHM</w:t>
      </w:r>
      <w:r w:rsidRPr="009E4A41">
        <w:rPr>
          <w:rFonts w:eastAsia="ＭＳ 明朝"/>
          <w:sz w:val="32"/>
          <w:szCs w:val="32"/>
        </w:rPr>
        <w:t xml:space="preserve"> 201: Mathematics in Elementary Schools I</w:t>
      </w:r>
    </w:p>
    <w:p w:rsidR="009E4A41" w:rsidRPr="009E4A41" w:rsidRDefault="009E4A41" w:rsidP="009E4A41">
      <w:pPr>
        <w:jc w:val="center"/>
        <w:rPr>
          <w:rFonts w:eastAsia="ＭＳ 明朝"/>
          <w:b w:val="0"/>
          <w:szCs w:val="24"/>
        </w:rPr>
      </w:pPr>
      <w:r w:rsidRPr="009E4A41">
        <w:rPr>
          <w:rFonts w:eastAsia="ＭＳ 明朝"/>
          <w:b w:val="0"/>
          <w:szCs w:val="24"/>
        </w:rPr>
        <w:t>Section 00</w:t>
      </w:r>
      <w:r w:rsidR="006F2F2C">
        <w:rPr>
          <w:rFonts w:eastAsia="ＭＳ 明朝"/>
          <w:b w:val="0"/>
          <w:szCs w:val="24"/>
        </w:rPr>
        <w:t>1, Fall</w:t>
      </w:r>
      <w:r>
        <w:rPr>
          <w:rFonts w:eastAsia="ＭＳ 明朝"/>
          <w:b w:val="0"/>
          <w:szCs w:val="24"/>
        </w:rPr>
        <w:t xml:space="preserve"> 2012</w:t>
      </w:r>
    </w:p>
    <w:p w:rsidR="009E4A41" w:rsidRPr="009E4A41" w:rsidRDefault="009E4A41" w:rsidP="009E4A41">
      <w:pPr>
        <w:jc w:val="center"/>
        <w:rPr>
          <w:rFonts w:eastAsia="ＭＳ 明朝"/>
          <w:b w:val="0"/>
          <w:szCs w:val="24"/>
        </w:rPr>
      </w:pPr>
      <w:r>
        <w:rPr>
          <w:rFonts w:eastAsia="ＭＳ 明朝"/>
          <w:b w:val="0"/>
          <w:szCs w:val="24"/>
        </w:rPr>
        <w:t>1</w:t>
      </w:r>
      <w:r w:rsidR="006F2F2C">
        <w:rPr>
          <w:rFonts w:eastAsia="ＭＳ 明朝"/>
          <w:b w:val="0"/>
          <w:szCs w:val="24"/>
        </w:rPr>
        <w:t xml:space="preserve">1:30-12:45 </w:t>
      </w:r>
      <w:r w:rsidRPr="009E4A41">
        <w:rPr>
          <w:rFonts w:eastAsia="ＭＳ 明朝"/>
          <w:b w:val="0"/>
          <w:szCs w:val="24"/>
        </w:rPr>
        <w:t>Mond</w:t>
      </w:r>
      <w:r w:rsidR="006F2F2C">
        <w:rPr>
          <w:rFonts w:eastAsia="ＭＳ 明朝"/>
          <w:b w:val="0"/>
          <w:szCs w:val="24"/>
        </w:rPr>
        <w:t>ay and Wednesday, Richardson 273</w:t>
      </w:r>
    </w:p>
    <w:p w:rsidR="009E4A41" w:rsidRPr="009E4A41" w:rsidRDefault="009E4A41" w:rsidP="009E4A41">
      <w:pPr>
        <w:rPr>
          <w:rFonts w:eastAsia="ＭＳ 明朝"/>
          <w:b w:val="0"/>
          <w:szCs w:val="24"/>
        </w:rPr>
      </w:pPr>
    </w:p>
    <w:p w:rsidR="009E4A41" w:rsidRDefault="009E4A41" w:rsidP="009E4A41">
      <w:pPr>
        <w:rPr>
          <w:rFonts w:eastAsia="ＭＳ 明朝"/>
          <w:szCs w:val="24"/>
        </w:rPr>
        <w:sectPr w:rsidR="009E4A41">
          <w:pgSz w:w="12240" w:h="15840"/>
          <w:pgMar w:top="810" w:right="1800" w:bottom="1440" w:left="1800" w:gutter="0"/>
        </w:sectPr>
      </w:pPr>
    </w:p>
    <w:p w:rsidR="009E4A41" w:rsidRPr="009E4A41" w:rsidRDefault="001115D2" w:rsidP="009E4A41">
      <w:pPr>
        <w:rPr>
          <w:rFonts w:eastAsia="ＭＳ 明朝"/>
          <w:b w:val="0"/>
          <w:szCs w:val="24"/>
        </w:rPr>
      </w:pPr>
      <w:r>
        <w:rPr>
          <w:rFonts w:eastAsia="ＭＳ 明朝"/>
          <w:szCs w:val="24"/>
        </w:rPr>
        <w:t>Profess</w:t>
      </w:r>
      <w:r w:rsidR="009E4A41" w:rsidRPr="009E4A41">
        <w:rPr>
          <w:rFonts w:eastAsia="ＭＳ 明朝"/>
          <w:szCs w:val="24"/>
        </w:rPr>
        <w:t>or:</w:t>
      </w:r>
      <w:r w:rsidR="009E4A41" w:rsidRPr="009E4A41">
        <w:rPr>
          <w:rFonts w:eastAsia="ＭＳ 明朝"/>
          <w:b w:val="0"/>
          <w:szCs w:val="24"/>
        </w:rPr>
        <w:t xml:space="preserve"> Erin Krupa, Ph.D.</w:t>
      </w:r>
    </w:p>
    <w:p w:rsidR="009E4A41" w:rsidRPr="009E4A41" w:rsidRDefault="009E4A41" w:rsidP="009E4A41">
      <w:pPr>
        <w:rPr>
          <w:rFonts w:eastAsia="ＭＳ 明朝"/>
          <w:b w:val="0"/>
          <w:szCs w:val="24"/>
        </w:rPr>
      </w:pPr>
      <w:r w:rsidRPr="009E4A41">
        <w:rPr>
          <w:rFonts w:eastAsia="ＭＳ 明朝"/>
          <w:szCs w:val="24"/>
        </w:rPr>
        <w:t>Office:</w:t>
      </w:r>
      <w:r w:rsidRPr="009E4A41">
        <w:rPr>
          <w:rFonts w:eastAsia="ＭＳ 明朝"/>
          <w:b w:val="0"/>
          <w:szCs w:val="24"/>
        </w:rPr>
        <w:t xml:space="preserve"> Richardson 208</w:t>
      </w:r>
    </w:p>
    <w:p w:rsidR="009E4A41" w:rsidRPr="009E4A41" w:rsidRDefault="009E4A41" w:rsidP="009E4A41">
      <w:pPr>
        <w:rPr>
          <w:rFonts w:eastAsia="ＭＳ 明朝"/>
          <w:b w:val="0"/>
          <w:szCs w:val="24"/>
        </w:rPr>
      </w:pPr>
      <w:r w:rsidRPr="009E4A41">
        <w:rPr>
          <w:rFonts w:eastAsia="ＭＳ 明朝"/>
          <w:szCs w:val="24"/>
        </w:rPr>
        <w:t>Phone:</w:t>
      </w:r>
      <w:r w:rsidRPr="009E4A41">
        <w:rPr>
          <w:rFonts w:eastAsia="ＭＳ 明朝"/>
          <w:b w:val="0"/>
          <w:szCs w:val="24"/>
        </w:rPr>
        <w:t xml:space="preserve"> 973-655-7241</w:t>
      </w:r>
    </w:p>
    <w:p w:rsidR="009E4A41" w:rsidRPr="009E4A41" w:rsidRDefault="009E4A41" w:rsidP="009E4A41">
      <w:pPr>
        <w:rPr>
          <w:rFonts w:eastAsia="ＭＳ 明朝"/>
          <w:b w:val="0"/>
          <w:szCs w:val="24"/>
        </w:rPr>
      </w:pPr>
      <w:r w:rsidRPr="009E4A41">
        <w:rPr>
          <w:rFonts w:eastAsia="ＭＳ 明朝"/>
          <w:szCs w:val="24"/>
        </w:rPr>
        <w:t>E-mail:</w:t>
      </w:r>
      <w:r w:rsidRPr="009E4A41">
        <w:rPr>
          <w:rFonts w:eastAsia="ＭＳ 明朝"/>
          <w:b w:val="0"/>
          <w:szCs w:val="24"/>
        </w:rPr>
        <w:t xml:space="preserve"> </w:t>
      </w:r>
      <w:hyperlink r:id="rId7" w:history="1">
        <w:r w:rsidRPr="009E4A41">
          <w:rPr>
            <w:rFonts w:eastAsia="ＭＳ 明朝"/>
            <w:b w:val="0"/>
            <w:color w:val="0000FF"/>
            <w:szCs w:val="24"/>
            <w:u w:val="single"/>
          </w:rPr>
          <w:t>krupae@mail.montclair.edu</w:t>
        </w:r>
      </w:hyperlink>
    </w:p>
    <w:p w:rsidR="009E4A41" w:rsidRDefault="009E4A41" w:rsidP="009E4A41">
      <w:pPr>
        <w:rPr>
          <w:rFonts w:eastAsia="ＭＳ 明朝"/>
          <w:b w:val="0"/>
          <w:szCs w:val="24"/>
        </w:rPr>
      </w:pPr>
      <w:r w:rsidRPr="009E4A41">
        <w:rPr>
          <w:rFonts w:eastAsia="ＭＳ 明朝"/>
          <w:szCs w:val="24"/>
        </w:rPr>
        <w:t xml:space="preserve">Office Hours: </w:t>
      </w:r>
      <w:r w:rsidR="001115D2">
        <w:rPr>
          <w:rFonts w:eastAsia="ＭＳ 明朝"/>
          <w:b w:val="0"/>
          <w:szCs w:val="24"/>
        </w:rPr>
        <w:t xml:space="preserve">M </w:t>
      </w:r>
      <w:r>
        <w:rPr>
          <w:rFonts w:eastAsia="ＭＳ 明朝"/>
          <w:b w:val="0"/>
          <w:szCs w:val="24"/>
        </w:rPr>
        <w:t>2:3</w:t>
      </w:r>
      <w:r w:rsidRPr="009E4A41">
        <w:rPr>
          <w:rFonts w:eastAsia="ＭＳ 明朝"/>
          <w:b w:val="0"/>
          <w:szCs w:val="24"/>
        </w:rPr>
        <w:t>0</w:t>
      </w:r>
      <w:r w:rsidR="001115D2">
        <w:rPr>
          <w:rFonts w:eastAsia="ＭＳ 明朝"/>
          <w:b w:val="0"/>
          <w:szCs w:val="24"/>
        </w:rPr>
        <w:t>-4:00</w:t>
      </w:r>
    </w:p>
    <w:p w:rsidR="001115D2" w:rsidRPr="009E4A41" w:rsidRDefault="001115D2" w:rsidP="009E4A41">
      <w:pPr>
        <w:rPr>
          <w:rFonts w:eastAsia="ＭＳ 明朝"/>
          <w:szCs w:val="24"/>
        </w:rPr>
      </w:pPr>
      <w:r>
        <w:rPr>
          <w:rFonts w:eastAsia="ＭＳ 明朝"/>
          <w:b w:val="0"/>
          <w:szCs w:val="24"/>
        </w:rPr>
        <w:tab/>
      </w:r>
      <w:r>
        <w:rPr>
          <w:rFonts w:eastAsia="ＭＳ 明朝"/>
          <w:b w:val="0"/>
          <w:szCs w:val="24"/>
        </w:rPr>
        <w:tab/>
        <w:t>W 9:45-11:15</w:t>
      </w:r>
    </w:p>
    <w:p w:rsidR="009E4A41" w:rsidRDefault="009E4A41">
      <w:pPr>
        <w:rPr>
          <w:b w:val="0"/>
          <w:bCs/>
          <w:sz w:val="22"/>
        </w:rPr>
        <w:sectPr w:rsidR="009E4A41">
          <w:type w:val="continuous"/>
          <w:pgSz w:w="12240" w:h="15840"/>
          <w:pgMar w:top="810" w:right="1800" w:bottom="1440" w:left="1800" w:gutter="0"/>
          <w:cols w:num="2"/>
        </w:sectPr>
      </w:pPr>
    </w:p>
    <w:p w:rsidR="001D3CF0" w:rsidRDefault="001D3CF0">
      <w:pPr>
        <w:rPr>
          <w:b w:val="0"/>
          <w:bCs/>
          <w:sz w:val="22"/>
        </w:rPr>
      </w:pPr>
    </w:p>
    <w:p w:rsidR="00111ECA" w:rsidRPr="00954848" w:rsidRDefault="00111ECA">
      <w:pPr>
        <w:rPr>
          <w:bCs/>
          <w:szCs w:val="24"/>
        </w:rPr>
      </w:pPr>
      <w:r w:rsidRPr="00954848">
        <w:rPr>
          <w:bCs/>
          <w:szCs w:val="24"/>
        </w:rPr>
        <w:t>Course Description</w:t>
      </w:r>
    </w:p>
    <w:p w:rsidR="00BC4567" w:rsidRDefault="00BC4567" w:rsidP="00BC4567">
      <w:pPr>
        <w:rPr>
          <w:b w:val="0"/>
          <w:sz w:val="22"/>
          <w:szCs w:val="22"/>
        </w:rPr>
      </w:pPr>
    </w:p>
    <w:p w:rsidR="00BC4567" w:rsidRDefault="00BC4567" w:rsidP="00BC4567">
      <w:pPr>
        <w:rPr>
          <w:b w:val="0"/>
          <w:sz w:val="22"/>
          <w:szCs w:val="22"/>
        </w:rPr>
      </w:pPr>
      <w:r>
        <w:rPr>
          <w:b w:val="0"/>
          <w:sz w:val="22"/>
          <w:szCs w:val="22"/>
        </w:rPr>
        <w:t xml:space="preserve">This </w:t>
      </w:r>
      <w:r w:rsidRPr="00D57BAE">
        <w:rPr>
          <w:b w:val="0"/>
          <w:sz w:val="22"/>
          <w:szCs w:val="22"/>
        </w:rPr>
        <w:t xml:space="preserve">course is intended for undergraduate students seeking certification to teach </w:t>
      </w:r>
      <w:r>
        <w:rPr>
          <w:b w:val="0"/>
          <w:sz w:val="22"/>
          <w:szCs w:val="22"/>
        </w:rPr>
        <w:t xml:space="preserve">early childhood and </w:t>
      </w:r>
      <w:r w:rsidRPr="00D57BAE">
        <w:rPr>
          <w:b w:val="0"/>
          <w:sz w:val="22"/>
          <w:szCs w:val="22"/>
        </w:rPr>
        <w:t>elementary school</w:t>
      </w:r>
      <w:r>
        <w:rPr>
          <w:b w:val="0"/>
          <w:sz w:val="22"/>
          <w:szCs w:val="22"/>
        </w:rPr>
        <w:t xml:space="preserve"> (P-3, K–5)</w:t>
      </w:r>
      <w:r w:rsidRPr="00D57BAE">
        <w:rPr>
          <w:b w:val="0"/>
          <w:sz w:val="22"/>
          <w:szCs w:val="22"/>
        </w:rPr>
        <w:t xml:space="preserve">.  The course will provide prospective </w:t>
      </w:r>
      <w:r>
        <w:rPr>
          <w:b w:val="0"/>
          <w:sz w:val="22"/>
          <w:szCs w:val="22"/>
        </w:rPr>
        <w:t xml:space="preserve">early childhood and </w:t>
      </w:r>
      <w:r w:rsidRPr="00D57BAE">
        <w:rPr>
          <w:b w:val="0"/>
          <w:sz w:val="22"/>
          <w:szCs w:val="22"/>
        </w:rPr>
        <w:t xml:space="preserve">elementary teachers with opportunities to </w:t>
      </w:r>
      <w:r w:rsidRPr="00D50613">
        <w:rPr>
          <w:b w:val="0"/>
          <w:sz w:val="22"/>
          <w:szCs w:val="22"/>
          <w:highlight w:val="yellow"/>
        </w:rPr>
        <w:t>develop deep, connected understandings of (1) content included in the Counting and Cardinality, Number and Operations, and Operations and Algebraic Thinking strands</w:t>
      </w:r>
      <w:r w:rsidRPr="00D57BAE">
        <w:rPr>
          <w:b w:val="0"/>
          <w:sz w:val="22"/>
          <w:szCs w:val="22"/>
        </w:rPr>
        <w:t xml:space="preserve"> of</w:t>
      </w:r>
      <w:r>
        <w:rPr>
          <w:b w:val="0"/>
          <w:sz w:val="22"/>
          <w:szCs w:val="22"/>
        </w:rPr>
        <w:t xml:space="preserve"> Pre-K through grade 5</w:t>
      </w:r>
      <w:r w:rsidRPr="00D57BAE">
        <w:rPr>
          <w:b w:val="0"/>
          <w:sz w:val="22"/>
          <w:szCs w:val="22"/>
        </w:rPr>
        <w:t xml:space="preserve"> </w:t>
      </w:r>
      <w:r>
        <w:rPr>
          <w:b w:val="0"/>
          <w:sz w:val="22"/>
          <w:szCs w:val="22"/>
        </w:rPr>
        <w:t xml:space="preserve">school </w:t>
      </w:r>
      <w:r w:rsidRPr="00D57BAE">
        <w:rPr>
          <w:b w:val="0"/>
          <w:sz w:val="22"/>
          <w:szCs w:val="22"/>
        </w:rPr>
        <w:t xml:space="preserve">mathematics; (2) factors that influence </w:t>
      </w:r>
      <w:r>
        <w:rPr>
          <w:b w:val="0"/>
          <w:sz w:val="22"/>
          <w:szCs w:val="22"/>
        </w:rPr>
        <w:t>student learning of that conten</w:t>
      </w:r>
      <w:r w:rsidRPr="00D57BAE">
        <w:rPr>
          <w:b w:val="0"/>
          <w:sz w:val="22"/>
          <w:szCs w:val="22"/>
        </w:rPr>
        <w:t>t, and (3) characte</w:t>
      </w:r>
      <w:r>
        <w:rPr>
          <w:b w:val="0"/>
          <w:sz w:val="22"/>
          <w:szCs w:val="22"/>
        </w:rPr>
        <w:t xml:space="preserve">ristics of instruction </w:t>
      </w:r>
      <w:r w:rsidRPr="00D57BAE">
        <w:rPr>
          <w:b w:val="0"/>
          <w:sz w:val="22"/>
          <w:szCs w:val="22"/>
        </w:rPr>
        <w:t>that are effective in promoting development of student understanding of</w:t>
      </w:r>
      <w:r>
        <w:rPr>
          <w:b w:val="0"/>
          <w:sz w:val="22"/>
          <w:szCs w:val="22"/>
        </w:rPr>
        <w:t xml:space="preserve"> that content</w:t>
      </w:r>
      <w:r w:rsidRPr="00D57BAE">
        <w:rPr>
          <w:b w:val="0"/>
          <w:sz w:val="22"/>
          <w:szCs w:val="22"/>
        </w:rPr>
        <w:t xml:space="preserve">.  </w:t>
      </w:r>
    </w:p>
    <w:p w:rsidR="00BC4567" w:rsidRDefault="00BC4567" w:rsidP="00BC4567">
      <w:pPr>
        <w:rPr>
          <w:b w:val="0"/>
          <w:sz w:val="22"/>
          <w:szCs w:val="22"/>
        </w:rPr>
      </w:pPr>
    </w:p>
    <w:p w:rsidR="00BC4567" w:rsidRPr="00D7036D" w:rsidRDefault="00BC4567" w:rsidP="00BC4567">
      <w:pPr>
        <w:rPr>
          <w:b w:val="0"/>
          <w:bCs/>
          <w:sz w:val="22"/>
        </w:rPr>
      </w:pPr>
      <w:r w:rsidRPr="00D57BAE">
        <w:rPr>
          <w:b w:val="0"/>
          <w:sz w:val="22"/>
          <w:szCs w:val="22"/>
        </w:rPr>
        <w:t>Throughout the cours</w:t>
      </w:r>
      <w:r>
        <w:rPr>
          <w:b w:val="0"/>
          <w:sz w:val="22"/>
          <w:szCs w:val="22"/>
        </w:rPr>
        <w:t>e, you</w:t>
      </w:r>
      <w:r w:rsidRPr="00D57BAE">
        <w:rPr>
          <w:b w:val="0"/>
          <w:sz w:val="22"/>
          <w:szCs w:val="22"/>
        </w:rPr>
        <w:t xml:space="preserve"> will explore mathematics content as participants in </w:t>
      </w:r>
      <w:r>
        <w:rPr>
          <w:b w:val="0"/>
          <w:sz w:val="22"/>
          <w:szCs w:val="22"/>
        </w:rPr>
        <w:t>classroom activities that model the Standards for Mathematical Practice outlined in the Common Core State Standards for Mathematics</w:t>
      </w:r>
      <w:r w:rsidRPr="00D57BAE">
        <w:rPr>
          <w:b w:val="0"/>
          <w:sz w:val="22"/>
          <w:szCs w:val="22"/>
        </w:rPr>
        <w:t xml:space="preserve">.  </w:t>
      </w:r>
      <w:r w:rsidRPr="00D7036D">
        <w:rPr>
          <w:b w:val="0"/>
          <w:bCs/>
          <w:sz w:val="22"/>
        </w:rPr>
        <w:t>Research has shown that students learn mathematical concepts more soundly when they are given oppo</w:t>
      </w:r>
      <w:r>
        <w:rPr>
          <w:b w:val="0"/>
          <w:bCs/>
          <w:sz w:val="22"/>
        </w:rPr>
        <w:t>rtunities to struggle with solving</w:t>
      </w:r>
      <w:r w:rsidRPr="00D7036D">
        <w:rPr>
          <w:b w:val="0"/>
          <w:bCs/>
          <w:sz w:val="22"/>
        </w:rPr>
        <w:t xml:space="preserve"> problems, to communicate and share their ideas with each other, and to interact with different representations of mathematical objects, especially representations that are concrete and visual.  </w:t>
      </w:r>
      <w:r>
        <w:rPr>
          <w:b w:val="0"/>
          <w:sz w:val="22"/>
          <w:szCs w:val="22"/>
        </w:rPr>
        <w:t>In accordance with this research, i</w:t>
      </w:r>
      <w:r w:rsidRPr="00D57BAE">
        <w:rPr>
          <w:b w:val="0"/>
          <w:sz w:val="22"/>
          <w:szCs w:val="22"/>
        </w:rPr>
        <w:t xml:space="preserve">nstruction in the course will be </w:t>
      </w:r>
      <w:r>
        <w:rPr>
          <w:b w:val="0"/>
          <w:sz w:val="22"/>
          <w:szCs w:val="22"/>
        </w:rPr>
        <w:t xml:space="preserve">student-centered and inquiry-based.  It </w:t>
      </w:r>
      <w:r w:rsidRPr="00D57BAE">
        <w:rPr>
          <w:b w:val="0"/>
          <w:sz w:val="22"/>
          <w:szCs w:val="22"/>
        </w:rPr>
        <w:t xml:space="preserve">will provide opportunities for cooperative learning, and will incorporate </w:t>
      </w:r>
      <w:r>
        <w:rPr>
          <w:b w:val="0"/>
          <w:sz w:val="22"/>
          <w:szCs w:val="22"/>
        </w:rPr>
        <w:t xml:space="preserve">the </w:t>
      </w:r>
      <w:r w:rsidRPr="00D57BAE">
        <w:rPr>
          <w:b w:val="0"/>
          <w:sz w:val="22"/>
          <w:szCs w:val="22"/>
        </w:rPr>
        <w:t>use</w:t>
      </w:r>
      <w:r>
        <w:rPr>
          <w:b w:val="0"/>
          <w:sz w:val="22"/>
          <w:szCs w:val="22"/>
        </w:rPr>
        <w:t xml:space="preserve"> of concrete and virtual manipulatives. </w:t>
      </w:r>
      <w:r w:rsidRPr="00D7036D">
        <w:rPr>
          <w:b w:val="0"/>
          <w:bCs/>
          <w:sz w:val="22"/>
        </w:rPr>
        <w:t>This course will not only show you how these instructional techniqu</w:t>
      </w:r>
      <w:r>
        <w:rPr>
          <w:b w:val="0"/>
          <w:bCs/>
          <w:sz w:val="22"/>
        </w:rPr>
        <w:t>es and materials can be used in the classroom, but also</w:t>
      </w:r>
      <w:r w:rsidRPr="00D7036D">
        <w:rPr>
          <w:b w:val="0"/>
          <w:bCs/>
          <w:sz w:val="22"/>
        </w:rPr>
        <w:t xml:space="preserve"> it will give you first-hand experience with these as you participate as a learner in this class.</w:t>
      </w:r>
    </w:p>
    <w:p w:rsidR="00BC4567" w:rsidRDefault="00BC4567" w:rsidP="00BC4567">
      <w:pPr>
        <w:rPr>
          <w:b w:val="0"/>
          <w:sz w:val="22"/>
          <w:szCs w:val="22"/>
        </w:rPr>
      </w:pPr>
    </w:p>
    <w:p w:rsidR="00BC4567" w:rsidRPr="00D0095D" w:rsidRDefault="00BC4567" w:rsidP="00BC4567">
      <w:pPr>
        <w:rPr>
          <w:b w:val="0"/>
          <w:sz w:val="22"/>
          <w:szCs w:val="22"/>
        </w:rPr>
      </w:pPr>
      <w:r w:rsidRPr="00D57BAE">
        <w:rPr>
          <w:b w:val="0"/>
          <w:sz w:val="22"/>
          <w:szCs w:val="22"/>
        </w:rPr>
        <w:t>In ad</w:t>
      </w:r>
      <w:r>
        <w:rPr>
          <w:b w:val="0"/>
          <w:sz w:val="22"/>
          <w:szCs w:val="22"/>
        </w:rPr>
        <w:t>dition to a focus on mathematical</w:t>
      </w:r>
      <w:r w:rsidRPr="00D57BAE">
        <w:rPr>
          <w:b w:val="0"/>
          <w:sz w:val="22"/>
          <w:szCs w:val="22"/>
        </w:rPr>
        <w:t xml:space="preserve"> content, course</w:t>
      </w:r>
      <w:r>
        <w:rPr>
          <w:b w:val="0"/>
          <w:sz w:val="22"/>
          <w:szCs w:val="22"/>
        </w:rPr>
        <w:t xml:space="preserve"> activities will provide you</w:t>
      </w:r>
      <w:r w:rsidRPr="00D57BAE">
        <w:rPr>
          <w:b w:val="0"/>
          <w:sz w:val="22"/>
          <w:szCs w:val="22"/>
        </w:rPr>
        <w:t xml:space="preserve"> with opportunities to become familiar with research on </w:t>
      </w:r>
      <w:r>
        <w:rPr>
          <w:b w:val="0"/>
          <w:sz w:val="22"/>
          <w:szCs w:val="22"/>
        </w:rPr>
        <w:t>how students learn mathematics</w:t>
      </w:r>
      <w:r w:rsidRPr="00D57BAE">
        <w:rPr>
          <w:b w:val="0"/>
          <w:sz w:val="22"/>
          <w:szCs w:val="22"/>
        </w:rPr>
        <w:t xml:space="preserve"> and to consider ways in which this knowledge can be </w:t>
      </w:r>
      <w:r>
        <w:rPr>
          <w:b w:val="0"/>
          <w:sz w:val="22"/>
          <w:szCs w:val="22"/>
        </w:rPr>
        <w:t>integrated into your future teaching.  In summary</w:t>
      </w:r>
      <w:r w:rsidRPr="00D57BAE">
        <w:rPr>
          <w:b w:val="0"/>
          <w:sz w:val="22"/>
          <w:szCs w:val="22"/>
        </w:rPr>
        <w:t xml:space="preserve">, </w:t>
      </w:r>
      <w:r>
        <w:rPr>
          <w:b w:val="0"/>
          <w:sz w:val="22"/>
          <w:szCs w:val="22"/>
        </w:rPr>
        <w:t xml:space="preserve">the </w:t>
      </w:r>
      <w:r w:rsidRPr="00D57BAE">
        <w:rPr>
          <w:b w:val="0"/>
          <w:sz w:val="22"/>
          <w:szCs w:val="22"/>
        </w:rPr>
        <w:t xml:space="preserve">activities in this course will help </w:t>
      </w:r>
      <w:r>
        <w:rPr>
          <w:b w:val="0"/>
          <w:sz w:val="22"/>
          <w:szCs w:val="22"/>
        </w:rPr>
        <w:t>you</w:t>
      </w:r>
      <w:r w:rsidRPr="00D57BAE">
        <w:rPr>
          <w:b w:val="0"/>
          <w:sz w:val="22"/>
          <w:szCs w:val="22"/>
        </w:rPr>
        <w:t xml:space="preserve"> to develop knowledge, understandings, and skills useful for </w:t>
      </w:r>
      <w:r>
        <w:rPr>
          <w:b w:val="0"/>
          <w:sz w:val="22"/>
          <w:szCs w:val="22"/>
        </w:rPr>
        <w:t>teaching elementary mathematics.</w:t>
      </w:r>
    </w:p>
    <w:p w:rsidR="00BC4567" w:rsidRDefault="00BC4567" w:rsidP="00BC4567"/>
    <w:p w:rsidR="00BC4567" w:rsidRPr="00EE6831" w:rsidRDefault="00BC4567" w:rsidP="00BC4567">
      <w:r w:rsidRPr="00EE6831">
        <w:t>Objectives</w:t>
      </w:r>
      <w:r>
        <w:t>:</w:t>
      </w:r>
    </w:p>
    <w:p w:rsidR="00BC4567" w:rsidRPr="00886FB2" w:rsidRDefault="00BC4567" w:rsidP="00BC4567">
      <w:pPr>
        <w:numPr>
          <w:ilvl w:val="0"/>
          <w:numId w:val="4"/>
        </w:numPr>
        <w:tabs>
          <w:tab w:val="clear" w:pos="360"/>
          <w:tab w:val="num" w:pos="720"/>
        </w:tabs>
        <w:ind w:left="720"/>
        <w:rPr>
          <w:b w:val="0"/>
          <w:sz w:val="22"/>
          <w:szCs w:val="22"/>
        </w:rPr>
      </w:pPr>
      <w:proofErr w:type="gramStart"/>
      <w:r w:rsidRPr="00886FB2">
        <w:rPr>
          <w:b w:val="0"/>
          <w:sz w:val="22"/>
          <w:szCs w:val="22"/>
        </w:rPr>
        <w:t>demonstrate</w:t>
      </w:r>
      <w:proofErr w:type="gramEnd"/>
      <w:r w:rsidRPr="00886FB2">
        <w:rPr>
          <w:b w:val="0"/>
          <w:sz w:val="22"/>
          <w:szCs w:val="22"/>
        </w:rPr>
        <w:t xml:space="preserve"> </w:t>
      </w:r>
      <w:r>
        <w:rPr>
          <w:b w:val="0"/>
          <w:sz w:val="22"/>
          <w:szCs w:val="22"/>
        </w:rPr>
        <w:t xml:space="preserve">and communicate </w:t>
      </w:r>
      <w:r w:rsidRPr="00886FB2">
        <w:rPr>
          <w:b w:val="0"/>
          <w:sz w:val="22"/>
          <w:szCs w:val="22"/>
        </w:rPr>
        <w:t xml:space="preserve">a deep understanding of </w:t>
      </w:r>
      <w:r>
        <w:rPr>
          <w:b w:val="0"/>
          <w:sz w:val="22"/>
          <w:szCs w:val="22"/>
        </w:rPr>
        <w:t>counting and cardinality, number and operations, and algebraic thinking;</w:t>
      </w:r>
    </w:p>
    <w:p w:rsidR="00BC4567" w:rsidRDefault="00BC4567" w:rsidP="00BC4567">
      <w:pPr>
        <w:numPr>
          <w:ilvl w:val="0"/>
          <w:numId w:val="4"/>
        </w:numPr>
        <w:tabs>
          <w:tab w:val="clear" w:pos="360"/>
          <w:tab w:val="num" w:pos="720"/>
        </w:tabs>
        <w:ind w:left="720"/>
        <w:rPr>
          <w:b w:val="0"/>
          <w:sz w:val="22"/>
          <w:szCs w:val="22"/>
        </w:rPr>
      </w:pPr>
      <w:proofErr w:type="gramStart"/>
      <w:r w:rsidRPr="00886FB2">
        <w:rPr>
          <w:b w:val="0"/>
          <w:sz w:val="22"/>
          <w:szCs w:val="22"/>
        </w:rPr>
        <w:t>demonstrate</w:t>
      </w:r>
      <w:proofErr w:type="gramEnd"/>
      <w:r w:rsidRPr="00886FB2">
        <w:rPr>
          <w:b w:val="0"/>
          <w:sz w:val="22"/>
          <w:szCs w:val="22"/>
        </w:rPr>
        <w:t xml:space="preserve"> an understanding of what it means to think mathematically</w:t>
      </w:r>
      <w:r>
        <w:rPr>
          <w:b w:val="0"/>
          <w:sz w:val="22"/>
          <w:szCs w:val="22"/>
        </w:rPr>
        <w:t>;</w:t>
      </w:r>
    </w:p>
    <w:p w:rsidR="00BC4567" w:rsidRDefault="00BC4567" w:rsidP="00BC4567">
      <w:pPr>
        <w:numPr>
          <w:ilvl w:val="0"/>
          <w:numId w:val="4"/>
        </w:numPr>
        <w:tabs>
          <w:tab w:val="clear" w:pos="360"/>
          <w:tab w:val="num" w:pos="720"/>
        </w:tabs>
        <w:ind w:left="720"/>
        <w:rPr>
          <w:b w:val="0"/>
          <w:sz w:val="22"/>
          <w:szCs w:val="22"/>
        </w:rPr>
      </w:pPr>
      <w:proofErr w:type="gramStart"/>
      <w:r>
        <w:rPr>
          <w:b w:val="0"/>
          <w:sz w:val="22"/>
          <w:szCs w:val="22"/>
        </w:rPr>
        <w:t>become</w:t>
      </w:r>
      <w:proofErr w:type="gramEnd"/>
      <w:r>
        <w:rPr>
          <w:b w:val="0"/>
          <w:sz w:val="22"/>
          <w:szCs w:val="22"/>
        </w:rPr>
        <w:t xml:space="preserve"> familiar with the Common Core State Standards for Mathematics (CCSSM).  Be able to interpret the Standards and draw conclusions about the relationship of mathematical tasks to the CCSSM.</w:t>
      </w:r>
    </w:p>
    <w:p w:rsidR="00BC4567" w:rsidRPr="00886FB2" w:rsidRDefault="00BC4567" w:rsidP="00BC4567">
      <w:pPr>
        <w:numPr>
          <w:ilvl w:val="0"/>
          <w:numId w:val="4"/>
        </w:numPr>
        <w:tabs>
          <w:tab w:val="clear" w:pos="360"/>
          <w:tab w:val="num" w:pos="720"/>
        </w:tabs>
        <w:ind w:left="720"/>
        <w:rPr>
          <w:b w:val="0"/>
          <w:sz w:val="22"/>
          <w:szCs w:val="22"/>
        </w:rPr>
      </w:pPr>
      <w:proofErr w:type="gramStart"/>
      <w:r>
        <w:rPr>
          <w:b w:val="0"/>
          <w:sz w:val="22"/>
          <w:szCs w:val="22"/>
        </w:rPr>
        <w:t>use</w:t>
      </w:r>
      <w:proofErr w:type="gramEnd"/>
      <w:r>
        <w:rPr>
          <w:b w:val="0"/>
          <w:sz w:val="22"/>
          <w:szCs w:val="22"/>
        </w:rPr>
        <w:t xml:space="preserve"> and reflect on the educational value of manipulatives/technology when working with concepts; </w:t>
      </w:r>
    </w:p>
    <w:p w:rsidR="00BC4567" w:rsidRDefault="00BC4567" w:rsidP="00BC4567">
      <w:pPr>
        <w:numPr>
          <w:ilvl w:val="0"/>
          <w:numId w:val="4"/>
        </w:numPr>
        <w:tabs>
          <w:tab w:val="clear" w:pos="360"/>
          <w:tab w:val="num" w:pos="720"/>
        </w:tabs>
        <w:ind w:left="720"/>
        <w:rPr>
          <w:b w:val="0"/>
          <w:sz w:val="22"/>
          <w:szCs w:val="22"/>
        </w:rPr>
      </w:pPr>
      <w:proofErr w:type="gramStart"/>
      <w:r w:rsidRPr="00886FB2">
        <w:rPr>
          <w:b w:val="0"/>
          <w:sz w:val="22"/>
          <w:szCs w:val="22"/>
        </w:rPr>
        <w:t>demonstrate</w:t>
      </w:r>
      <w:proofErr w:type="gramEnd"/>
      <w:r w:rsidRPr="00886FB2">
        <w:rPr>
          <w:b w:val="0"/>
          <w:sz w:val="22"/>
          <w:szCs w:val="22"/>
        </w:rPr>
        <w:t xml:space="preserve"> an understanding of the way in which </w:t>
      </w:r>
      <w:r>
        <w:rPr>
          <w:b w:val="0"/>
          <w:sz w:val="22"/>
          <w:szCs w:val="22"/>
        </w:rPr>
        <w:t xml:space="preserve">students’ </w:t>
      </w:r>
      <w:r w:rsidRPr="00886FB2">
        <w:rPr>
          <w:b w:val="0"/>
          <w:sz w:val="22"/>
          <w:szCs w:val="22"/>
        </w:rPr>
        <w:t>understanding</w:t>
      </w:r>
      <w:r>
        <w:rPr>
          <w:b w:val="0"/>
          <w:sz w:val="22"/>
          <w:szCs w:val="22"/>
        </w:rPr>
        <w:t xml:space="preserve">s of </w:t>
      </w:r>
      <w:r w:rsidRPr="00886FB2">
        <w:rPr>
          <w:b w:val="0"/>
          <w:sz w:val="22"/>
          <w:szCs w:val="22"/>
        </w:rPr>
        <w:t xml:space="preserve">content </w:t>
      </w:r>
      <w:r>
        <w:rPr>
          <w:b w:val="0"/>
          <w:sz w:val="22"/>
          <w:szCs w:val="22"/>
        </w:rPr>
        <w:t>develops over time;</w:t>
      </w:r>
    </w:p>
    <w:p w:rsidR="00BC4567" w:rsidRPr="00886FB2" w:rsidRDefault="00BC4567" w:rsidP="00BC4567">
      <w:pPr>
        <w:numPr>
          <w:ilvl w:val="0"/>
          <w:numId w:val="4"/>
        </w:numPr>
        <w:tabs>
          <w:tab w:val="clear" w:pos="360"/>
          <w:tab w:val="num" w:pos="720"/>
        </w:tabs>
        <w:ind w:left="720"/>
        <w:rPr>
          <w:b w:val="0"/>
          <w:sz w:val="22"/>
          <w:szCs w:val="22"/>
        </w:rPr>
      </w:pPr>
      <w:proofErr w:type="gramStart"/>
      <w:r>
        <w:rPr>
          <w:b w:val="0"/>
          <w:sz w:val="22"/>
          <w:szCs w:val="22"/>
        </w:rPr>
        <w:t>identify</w:t>
      </w:r>
      <w:proofErr w:type="gramEnd"/>
      <w:r>
        <w:rPr>
          <w:b w:val="0"/>
          <w:sz w:val="22"/>
          <w:szCs w:val="22"/>
        </w:rPr>
        <w:t xml:space="preserve"> the conceptual challenges students face in learning the content examined;</w:t>
      </w:r>
    </w:p>
    <w:p w:rsidR="00BC4567" w:rsidRDefault="00BC4567" w:rsidP="00BC4567">
      <w:pPr>
        <w:numPr>
          <w:ilvl w:val="0"/>
          <w:numId w:val="4"/>
        </w:numPr>
        <w:tabs>
          <w:tab w:val="clear" w:pos="360"/>
          <w:tab w:val="num" w:pos="720"/>
        </w:tabs>
        <w:ind w:left="720"/>
        <w:rPr>
          <w:b w:val="0"/>
          <w:sz w:val="22"/>
          <w:szCs w:val="22"/>
        </w:rPr>
      </w:pPr>
      <w:proofErr w:type="gramStart"/>
      <w:r>
        <w:rPr>
          <w:b w:val="0"/>
          <w:sz w:val="22"/>
          <w:szCs w:val="22"/>
        </w:rPr>
        <w:t>evaluate</w:t>
      </w:r>
      <w:proofErr w:type="gramEnd"/>
      <w:r>
        <w:rPr>
          <w:b w:val="0"/>
          <w:sz w:val="22"/>
          <w:szCs w:val="22"/>
        </w:rPr>
        <w:t xml:space="preserve"> instructional tasks for their potential to foster deep understanding of mathematics</w:t>
      </w:r>
    </w:p>
    <w:p w:rsidR="00EE6831" w:rsidRPr="000B68D4" w:rsidRDefault="00EE6831" w:rsidP="00EE6831">
      <w:pPr>
        <w:rPr>
          <w:rFonts w:ascii="Palatino Linotype" w:eastAsia="MS Mincho" w:hAnsi="Palatino Linotype"/>
        </w:rPr>
      </w:pPr>
      <w:r w:rsidRPr="000B68D4">
        <w:rPr>
          <w:rFonts w:ascii="Palatino Linotype" w:eastAsia="MS Mincho" w:hAnsi="Palatino Linotype"/>
        </w:rPr>
        <w:t xml:space="preserve">  </w:t>
      </w:r>
    </w:p>
    <w:p w:rsidR="00EE6831" w:rsidRPr="00EE6831" w:rsidRDefault="00EE6831" w:rsidP="009E5632">
      <w:r w:rsidRPr="00EE6831">
        <w:t>Content and Scope</w:t>
      </w:r>
      <w:r w:rsidR="009101FA">
        <w:t>:</w:t>
      </w:r>
    </w:p>
    <w:p w:rsidR="00EE6831" w:rsidRPr="00954848" w:rsidRDefault="00EE6831" w:rsidP="00EE6831">
      <w:pPr>
        <w:rPr>
          <w:b w:val="0"/>
          <w:sz w:val="22"/>
          <w:szCs w:val="22"/>
        </w:rPr>
      </w:pPr>
      <w:r w:rsidRPr="00954848">
        <w:rPr>
          <w:b w:val="0"/>
          <w:sz w:val="22"/>
          <w:szCs w:val="22"/>
        </w:rPr>
        <w:t xml:space="preserve">The course will </w:t>
      </w:r>
      <w:r w:rsidR="00111ECA" w:rsidRPr="00954848">
        <w:rPr>
          <w:b w:val="0"/>
          <w:sz w:val="22"/>
          <w:szCs w:val="22"/>
        </w:rPr>
        <w:t>examine mathematical content and student learning of this content, the nature of mathematics (e.g. what does it mean to do mathematics), and evaluation of instructional tasks (e.g. what makes a problem useful for assessing some particular understanding).</w:t>
      </w:r>
    </w:p>
    <w:p w:rsidR="00111ECA" w:rsidRDefault="00111ECA" w:rsidP="00EE6831">
      <w:pPr>
        <w:rPr>
          <w:b w:val="0"/>
          <w:sz w:val="22"/>
          <w:szCs w:val="22"/>
        </w:rPr>
      </w:pPr>
    </w:p>
    <w:p w:rsidR="004D4F20" w:rsidRPr="00954848" w:rsidRDefault="004D4F20" w:rsidP="00EE6831">
      <w:pPr>
        <w:rPr>
          <w:b w:val="0"/>
          <w:sz w:val="22"/>
          <w:szCs w:val="22"/>
        </w:rPr>
      </w:pPr>
      <w:r w:rsidRPr="00954848">
        <w:rPr>
          <w:b w:val="0"/>
          <w:sz w:val="22"/>
          <w:szCs w:val="22"/>
        </w:rPr>
        <w:t>Mathematical topics explored will include:</w:t>
      </w:r>
    </w:p>
    <w:p w:rsidR="004D4F20" w:rsidRPr="00954848" w:rsidRDefault="004D4F20" w:rsidP="004D4F20">
      <w:pPr>
        <w:pStyle w:val="ListParagraph"/>
        <w:numPr>
          <w:ilvl w:val="0"/>
          <w:numId w:val="5"/>
        </w:numPr>
        <w:rPr>
          <w:b w:val="0"/>
          <w:sz w:val="22"/>
          <w:szCs w:val="22"/>
        </w:rPr>
      </w:pPr>
      <w:r w:rsidRPr="00954848">
        <w:rPr>
          <w:b w:val="0"/>
          <w:sz w:val="22"/>
          <w:szCs w:val="22"/>
        </w:rPr>
        <w:t>Place value and number systems</w:t>
      </w:r>
      <w:r w:rsidR="00863354">
        <w:rPr>
          <w:b w:val="0"/>
          <w:sz w:val="22"/>
          <w:szCs w:val="22"/>
        </w:rPr>
        <w:t>,</w:t>
      </w:r>
    </w:p>
    <w:p w:rsidR="00111ECA" w:rsidRPr="00954848" w:rsidRDefault="004D4F20" w:rsidP="004D4F20">
      <w:pPr>
        <w:pStyle w:val="ListParagraph"/>
        <w:numPr>
          <w:ilvl w:val="0"/>
          <w:numId w:val="5"/>
        </w:numPr>
        <w:rPr>
          <w:b w:val="0"/>
          <w:sz w:val="22"/>
          <w:szCs w:val="22"/>
        </w:rPr>
      </w:pPr>
      <w:r w:rsidRPr="00954848">
        <w:rPr>
          <w:b w:val="0"/>
          <w:sz w:val="22"/>
          <w:szCs w:val="22"/>
        </w:rPr>
        <w:t>Fractions, decimals, percents, and the relationships among them</w:t>
      </w:r>
      <w:r w:rsidR="00863354">
        <w:rPr>
          <w:b w:val="0"/>
          <w:sz w:val="22"/>
          <w:szCs w:val="22"/>
        </w:rPr>
        <w:t>,</w:t>
      </w:r>
    </w:p>
    <w:p w:rsidR="004D4F20" w:rsidRPr="00954848" w:rsidRDefault="004D4F20" w:rsidP="004D4F20">
      <w:pPr>
        <w:pStyle w:val="ListParagraph"/>
        <w:numPr>
          <w:ilvl w:val="0"/>
          <w:numId w:val="5"/>
        </w:numPr>
        <w:rPr>
          <w:b w:val="0"/>
          <w:sz w:val="22"/>
          <w:szCs w:val="22"/>
        </w:rPr>
      </w:pPr>
      <w:r w:rsidRPr="00954848">
        <w:rPr>
          <w:b w:val="0"/>
          <w:sz w:val="22"/>
          <w:szCs w:val="22"/>
        </w:rPr>
        <w:t>Arithmetic operations and the relationships among them</w:t>
      </w:r>
      <w:r w:rsidR="00863354">
        <w:rPr>
          <w:b w:val="0"/>
          <w:sz w:val="22"/>
          <w:szCs w:val="22"/>
        </w:rPr>
        <w:t>,</w:t>
      </w:r>
    </w:p>
    <w:p w:rsidR="004D4F20" w:rsidRPr="00954848" w:rsidRDefault="004D4F20" w:rsidP="004D4F20">
      <w:pPr>
        <w:pStyle w:val="ListParagraph"/>
        <w:numPr>
          <w:ilvl w:val="0"/>
          <w:numId w:val="5"/>
        </w:numPr>
        <w:rPr>
          <w:b w:val="0"/>
          <w:sz w:val="22"/>
          <w:szCs w:val="22"/>
        </w:rPr>
      </w:pPr>
      <w:r w:rsidRPr="00954848">
        <w:rPr>
          <w:b w:val="0"/>
          <w:sz w:val="22"/>
          <w:szCs w:val="22"/>
        </w:rPr>
        <w:t>Pattern exploration and representation</w:t>
      </w:r>
      <w:r w:rsidR="00863354">
        <w:rPr>
          <w:b w:val="0"/>
          <w:sz w:val="22"/>
          <w:szCs w:val="22"/>
        </w:rPr>
        <w:t>.</w:t>
      </w:r>
    </w:p>
    <w:p w:rsidR="00D7036D" w:rsidRDefault="00D7036D" w:rsidP="00D7036D">
      <w:pPr>
        <w:rPr>
          <w:b w:val="0"/>
          <w:sz w:val="22"/>
          <w:szCs w:val="22"/>
        </w:rPr>
      </w:pPr>
    </w:p>
    <w:p w:rsidR="00D7036D" w:rsidRDefault="00D7036D" w:rsidP="00D7036D">
      <w:pPr>
        <w:rPr>
          <w:b w:val="0"/>
          <w:sz w:val="22"/>
          <w:szCs w:val="22"/>
        </w:rPr>
      </w:pPr>
      <w:r w:rsidRPr="00D7036D">
        <w:rPr>
          <w:b w:val="0"/>
          <w:sz w:val="22"/>
          <w:szCs w:val="22"/>
        </w:rPr>
        <w:t>This course will likely feel different than other math classes you may have taken</w:t>
      </w:r>
      <w:r w:rsidR="00E30840">
        <w:rPr>
          <w:b w:val="0"/>
          <w:sz w:val="22"/>
          <w:szCs w:val="22"/>
        </w:rPr>
        <w:t xml:space="preserve">. </w:t>
      </w:r>
      <w:r w:rsidRPr="00D7036D">
        <w:rPr>
          <w:b w:val="0"/>
          <w:sz w:val="22"/>
          <w:szCs w:val="22"/>
        </w:rPr>
        <w:t>It will not emphasize memorizing procedures, but will instead focus on critical thinking, making connections, and coordinating between different representations</w:t>
      </w:r>
      <w:r w:rsidR="00E30840">
        <w:rPr>
          <w:b w:val="0"/>
          <w:sz w:val="22"/>
          <w:szCs w:val="22"/>
        </w:rPr>
        <w:t xml:space="preserve">. </w:t>
      </w:r>
      <w:r w:rsidRPr="00D7036D">
        <w:rPr>
          <w:b w:val="0"/>
          <w:sz w:val="22"/>
          <w:szCs w:val="22"/>
        </w:rPr>
        <w:t>Your contributions will be an essential aspect of each class. I ask that you bring with you an open mind</w:t>
      </w:r>
      <w:r w:rsidR="00E30840">
        <w:rPr>
          <w:b w:val="0"/>
          <w:sz w:val="22"/>
          <w:szCs w:val="22"/>
        </w:rPr>
        <w:t xml:space="preserve">. </w:t>
      </w:r>
      <w:r w:rsidRPr="00D7036D">
        <w:rPr>
          <w:b w:val="0"/>
          <w:sz w:val="22"/>
          <w:szCs w:val="22"/>
        </w:rPr>
        <w:t>Be ready to be creative, to share your ideas, to ask questions, and to think about elementary mathematics in new ways</w:t>
      </w:r>
      <w:r w:rsidR="00E30840">
        <w:rPr>
          <w:b w:val="0"/>
          <w:sz w:val="22"/>
          <w:szCs w:val="22"/>
        </w:rPr>
        <w:t xml:space="preserve">. </w:t>
      </w:r>
      <w:r w:rsidRPr="00D7036D">
        <w:rPr>
          <w:b w:val="0"/>
          <w:sz w:val="22"/>
          <w:szCs w:val="22"/>
        </w:rPr>
        <w:t>Not only will this mindset help you to be successful in (and hopefully enjoy) this class, it will also help you develop the disposition to help students engage in critical thinking about mathematics.</w:t>
      </w:r>
    </w:p>
    <w:p w:rsidR="001D3CF0" w:rsidRDefault="001D3CF0">
      <w:pPr>
        <w:rPr>
          <w:b w:val="0"/>
          <w:bCs/>
          <w:sz w:val="22"/>
        </w:rPr>
      </w:pPr>
    </w:p>
    <w:p w:rsidR="001D3CF0" w:rsidRPr="009E5632" w:rsidRDefault="00EE6831">
      <w:pPr>
        <w:rPr>
          <w:szCs w:val="24"/>
        </w:rPr>
      </w:pPr>
      <w:r w:rsidRPr="009E5632">
        <w:rPr>
          <w:szCs w:val="24"/>
        </w:rPr>
        <w:t>Textbook</w:t>
      </w:r>
      <w:r w:rsidR="001D3CF0" w:rsidRPr="009E5632">
        <w:rPr>
          <w:szCs w:val="24"/>
        </w:rPr>
        <w:t xml:space="preserve">:  </w:t>
      </w:r>
    </w:p>
    <w:p w:rsidR="009914E2" w:rsidRPr="00954848" w:rsidRDefault="00671FAC" w:rsidP="009914E2">
      <w:pPr>
        <w:pStyle w:val="Heading2"/>
        <w:rPr>
          <w:b w:val="0"/>
          <w:szCs w:val="22"/>
        </w:rPr>
      </w:pPr>
      <w:r w:rsidRPr="00954848">
        <w:rPr>
          <w:b w:val="0"/>
          <w:i/>
          <w:szCs w:val="22"/>
        </w:rPr>
        <w:t>Elementary and Middle School Mathematics: Teaching Developmentally</w:t>
      </w:r>
      <w:r w:rsidRPr="00954848">
        <w:rPr>
          <w:b w:val="0"/>
          <w:szCs w:val="22"/>
        </w:rPr>
        <w:t xml:space="preserve">, </w:t>
      </w:r>
      <w:r w:rsidR="00BC4567">
        <w:rPr>
          <w:b w:val="0"/>
          <w:szCs w:val="22"/>
        </w:rPr>
        <w:t>8</w:t>
      </w:r>
      <w:r w:rsidRPr="00954848">
        <w:rPr>
          <w:b w:val="0"/>
          <w:szCs w:val="22"/>
          <w:vertAlign w:val="superscript"/>
        </w:rPr>
        <w:t>th</w:t>
      </w:r>
      <w:r w:rsidRPr="00954848">
        <w:rPr>
          <w:b w:val="0"/>
          <w:szCs w:val="22"/>
        </w:rPr>
        <w:t xml:space="preserve"> ed</w:t>
      </w:r>
      <w:r w:rsidR="00E30840">
        <w:rPr>
          <w:b w:val="0"/>
          <w:szCs w:val="22"/>
        </w:rPr>
        <w:t xml:space="preserve">. </w:t>
      </w:r>
      <w:r w:rsidRPr="00954848">
        <w:rPr>
          <w:b w:val="0"/>
          <w:szCs w:val="22"/>
        </w:rPr>
        <w:t xml:space="preserve">Van De </w:t>
      </w:r>
      <w:proofErr w:type="spellStart"/>
      <w:r w:rsidRPr="00954848">
        <w:rPr>
          <w:b w:val="0"/>
          <w:szCs w:val="22"/>
        </w:rPr>
        <w:t>Walle</w:t>
      </w:r>
      <w:proofErr w:type="spellEnd"/>
      <w:r w:rsidRPr="00954848">
        <w:rPr>
          <w:b w:val="0"/>
          <w:szCs w:val="22"/>
        </w:rPr>
        <w:t>, Karp, Bay-Williams</w:t>
      </w:r>
      <w:r w:rsidR="00E30840">
        <w:rPr>
          <w:b w:val="0"/>
          <w:szCs w:val="22"/>
        </w:rPr>
        <w:t xml:space="preserve">. </w:t>
      </w:r>
      <w:r w:rsidRPr="00954848">
        <w:rPr>
          <w:b w:val="0"/>
          <w:szCs w:val="22"/>
        </w:rPr>
        <w:t xml:space="preserve">ISBN </w:t>
      </w:r>
      <w:r w:rsidR="00BC4567" w:rsidRPr="00C0132F">
        <w:rPr>
          <w:b w:val="0"/>
          <w:szCs w:val="22"/>
        </w:rPr>
        <w:t>978-0132612265</w:t>
      </w:r>
      <w:r w:rsidRPr="00954848">
        <w:rPr>
          <w:b w:val="0"/>
          <w:szCs w:val="22"/>
        </w:rPr>
        <w:t>.</w:t>
      </w:r>
    </w:p>
    <w:p w:rsidR="009914E2" w:rsidRPr="00954848" w:rsidRDefault="009914E2" w:rsidP="0096115D">
      <w:pPr>
        <w:rPr>
          <w:b w:val="0"/>
          <w:bCs/>
          <w:iCs/>
          <w:sz w:val="22"/>
          <w:szCs w:val="22"/>
        </w:rPr>
      </w:pPr>
    </w:p>
    <w:p w:rsidR="009914E2" w:rsidRPr="00954848" w:rsidRDefault="007D4882" w:rsidP="009914E2">
      <w:pPr>
        <w:rPr>
          <w:b w:val="0"/>
          <w:bCs/>
          <w:sz w:val="22"/>
          <w:szCs w:val="22"/>
        </w:rPr>
      </w:pPr>
      <w:r w:rsidRPr="00954848">
        <w:rPr>
          <w:b w:val="0"/>
          <w:bCs/>
          <w:sz w:val="22"/>
          <w:szCs w:val="22"/>
        </w:rPr>
        <w:t xml:space="preserve">In addition to the textbook, numerous </w:t>
      </w:r>
      <w:r w:rsidR="00CA52EF">
        <w:rPr>
          <w:b w:val="0"/>
          <w:bCs/>
          <w:sz w:val="22"/>
          <w:szCs w:val="22"/>
        </w:rPr>
        <w:t xml:space="preserve">other resources </w:t>
      </w:r>
      <w:r w:rsidRPr="00954848">
        <w:rPr>
          <w:b w:val="0"/>
          <w:bCs/>
          <w:sz w:val="22"/>
          <w:szCs w:val="22"/>
        </w:rPr>
        <w:t>will be posted on Blackboard.</w:t>
      </w:r>
    </w:p>
    <w:p w:rsidR="002F0BAB" w:rsidRPr="00954848" w:rsidRDefault="002F0BAB">
      <w:pPr>
        <w:rPr>
          <w:bCs/>
          <w:sz w:val="22"/>
          <w:szCs w:val="22"/>
        </w:rPr>
      </w:pPr>
    </w:p>
    <w:p w:rsidR="001D3CF0" w:rsidRPr="00954848" w:rsidRDefault="001D3CF0">
      <w:pPr>
        <w:rPr>
          <w:szCs w:val="24"/>
        </w:rPr>
      </w:pPr>
      <w:r w:rsidRPr="00954848">
        <w:rPr>
          <w:szCs w:val="24"/>
        </w:rPr>
        <w:t xml:space="preserve">Attendance Policy:  </w:t>
      </w:r>
    </w:p>
    <w:p w:rsidR="00CA52EF" w:rsidRPr="00954848" w:rsidRDefault="009E5632" w:rsidP="00CA52EF">
      <w:pPr>
        <w:pStyle w:val="BodyText"/>
        <w:rPr>
          <w:sz w:val="22"/>
          <w:szCs w:val="22"/>
        </w:rPr>
      </w:pPr>
      <w:r w:rsidRPr="00954848">
        <w:rPr>
          <w:sz w:val="22"/>
          <w:szCs w:val="22"/>
        </w:rPr>
        <w:t>Your active participation and contributions</w:t>
      </w:r>
      <w:r w:rsidR="00CA52EF">
        <w:rPr>
          <w:sz w:val="22"/>
          <w:szCs w:val="22"/>
        </w:rPr>
        <w:t xml:space="preserve"> are essential</w:t>
      </w:r>
      <w:r w:rsidR="00E30840">
        <w:rPr>
          <w:sz w:val="22"/>
          <w:szCs w:val="22"/>
        </w:rPr>
        <w:t xml:space="preserve">. </w:t>
      </w:r>
      <w:r w:rsidR="00CA52EF">
        <w:rPr>
          <w:sz w:val="22"/>
          <w:szCs w:val="22"/>
        </w:rPr>
        <w:t>Attendance is mandatory</w:t>
      </w:r>
      <w:r w:rsidR="00E30840">
        <w:rPr>
          <w:sz w:val="22"/>
          <w:szCs w:val="22"/>
        </w:rPr>
        <w:t xml:space="preserve"> and </w:t>
      </w:r>
      <w:r w:rsidR="00E30840" w:rsidRPr="00E30840">
        <w:rPr>
          <w:sz w:val="22"/>
          <w:szCs w:val="22"/>
        </w:rPr>
        <w:t>attendance will be taken at the beginning of each class</w:t>
      </w:r>
      <w:r w:rsidRPr="00E30840">
        <w:rPr>
          <w:sz w:val="22"/>
          <w:szCs w:val="22"/>
        </w:rPr>
        <w:t>.</w:t>
      </w:r>
      <w:r w:rsidRPr="00954848">
        <w:rPr>
          <w:sz w:val="22"/>
          <w:szCs w:val="22"/>
        </w:rPr>
        <w:t xml:space="preserve"> Excessive absences will have a negative impact on your ability to participate in our professional community</w:t>
      </w:r>
      <w:r w:rsidR="00CA52EF">
        <w:rPr>
          <w:sz w:val="22"/>
          <w:szCs w:val="22"/>
        </w:rPr>
        <w:t>.</w:t>
      </w:r>
      <w:r w:rsidRPr="00954848">
        <w:rPr>
          <w:sz w:val="22"/>
          <w:szCs w:val="22"/>
        </w:rPr>
        <w:t xml:space="preserve"> </w:t>
      </w:r>
    </w:p>
    <w:p w:rsidR="00EF03B1" w:rsidRPr="00954848" w:rsidRDefault="00EF03B1" w:rsidP="009825AE">
      <w:pPr>
        <w:pStyle w:val="BodyText"/>
        <w:rPr>
          <w:sz w:val="22"/>
          <w:szCs w:val="22"/>
        </w:rPr>
      </w:pPr>
    </w:p>
    <w:p w:rsidR="00411695" w:rsidRPr="002E79CA" w:rsidRDefault="00411695">
      <w:pPr>
        <w:rPr>
          <w:b w:val="0"/>
          <w:bCs/>
          <w:i/>
          <w:sz w:val="22"/>
          <w:szCs w:val="22"/>
        </w:rPr>
      </w:pPr>
      <w:r w:rsidRPr="002E79CA">
        <w:rPr>
          <w:b w:val="0"/>
          <w:bCs/>
          <w:i/>
          <w:sz w:val="22"/>
          <w:szCs w:val="22"/>
        </w:rPr>
        <w:t>Late work will not be accepted.</w:t>
      </w:r>
      <w:r w:rsidR="00FE5B5B" w:rsidRPr="002E79CA">
        <w:rPr>
          <w:sz w:val="22"/>
          <w:szCs w:val="22"/>
        </w:rPr>
        <w:t xml:space="preserve"> </w:t>
      </w:r>
      <w:r w:rsidR="002E79CA" w:rsidRPr="00E30840">
        <w:rPr>
          <w:bCs/>
          <w:i/>
          <w:sz w:val="22"/>
          <w:szCs w:val="22"/>
        </w:rPr>
        <w:t>Exams cannot be made up and assignments cannot be turned in late; you will receive a 0 any missed exam or assignment.</w:t>
      </w:r>
      <w:r w:rsidR="002E79CA" w:rsidRPr="002E79CA">
        <w:rPr>
          <w:b w:val="0"/>
          <w:bCs/>
          <w:i/>
          <w:sz w:val="22"/>
          <w:szCs w:val="22"/>
        </w:rPr>
        <w:t xml:space="preserve"> </w:t>
      </w:r>
      <w:r w:rsidR="00BC4567">
        <w:rPr>
          <w:b w:val="0"/>
          <w:bCs/>
          <w:i/>
          <w:sz w:val="22"/>
          <w:szCs w:val="22"/>
        </w:rPr>
        <w:t>However, your</w:t>
      </w:r>
      <w:r w:rsidR="00BC4567" w:rsidRPr="00BC4567">
        <w:rPr>
          <w:b w:val="0"/>
          <w:bCs/>
          <w:i/>
          <w:sz w:val="22"/>
          <w:szCs w:val="22"/>
        </w:rPr>
        <w:t xml:space="preserve"> homework assignment with the lowest grade will be dropped</w:t>
      </w:r>
      <w:r w:rsidR="00BC4567">
        <w:rPr>
          <w:b w:val="0"/>
          <w:bCs/>
          <w:i/>
          <w:sz w:val="22"/>
          <w:szCs w:val="22"/>
        </w:rPr>
        <w:t xml:space="preserve"> without question</w:t>
      </w:r>
      <w:r w:rsidR="00BC4567" w:rsidRPr="00BC4567">
        <w:rPr>
          <w:b w:val="0"/>
          <w:bCs/>
          <w:i/>
          <w:sz w:val="22"/>
          <w:szCs w:val="22"/>
        </w:rPr>
        <w:t>.</w:t>
      </w:r>
      <w:r w:rsidR="00BC4567" w:rsidRPr="002B4F16">
        <w:rPr>
          <w:b w:val="0"/>
          <w:bCs/>
          <w:sz w:val="22"/>
          <w:szCs w:val="22"/>
        </w:rPr>
        <w:t xml:space="preserve">  </w:t>
      </w:r>
      <w:r w:rsidR="00FE5B5B" w:rsidRPr="002E79CA">
        <w:rPr>
          <w:b w:val="0"/>
          <w:bCs/>
          <w:i/>
          <w:sz w:val="22"/>
          <w:szCs w:val="22"/>
        </w:rPr>
        <w:t xml:space="preserve">In-class assessments can </w:t>
      </w:r>
      <w:r w:rsidR="00D7036D" w:rsidRPr="002E79CA">
        <w:rPr>
          <w:b w:val="0"/>
          <w:bCs/>
          <w:i/>
          <w:sz w:val="22"/>
          <w:szCs w:val="22"/>
        </w:rPr>
        <w:t xml:space="preserve">only </w:t>
      </w:r>
      <w:r w:rsidR="00FE5B5B" w:rsidRPr="002E79CA">
        <w:rPr>
          <w:b w:val="0"/>
          <w:bCs/>
          <w:i/>
          <w:sz w:val="22"/>
          <w:szCs w:val="22"/>
        </w:rPr>
        <w:t>be made up</w:t>
      </w:r>
      <w:r w:rsidR="00D7036D" w:rsidRPr="002E79CA">
        <w:rPr>
          <w:b w:val="0"/>
          <w:bCs/>
          <w:i/>
          <w:sz w:val="22"/>
          <w:szCs w:val="22"/>
        </w:rPr>
        <w:t xml:space="preserve"> for extreme circumstances that are communicated to me</w:t>
      </w:r>
      <w:r w:rsidR="009658B2" w:rsidRPr="002E79CA">
        <w:rPr>
          <w:b w:val="0"/>
          <w:bCs/>
          <w:i/>
          <w:sz w:val="22"/>
          <w:szCs w:val="22"/>
        </w:rPr>
        <w:t xml:space="preserve"> in advance</w:t>
      </w:r>
      <w:r w:rsidR="00E30840">
        <w:rPr>
          <w:b w:val="0"/>
          <w:bCs/>
          <w:i/>
          <w:sz w:val="22"/>
          <w:szCs w:val="22"/>
        </w:rPr>
        <w:t xml:space="preserve"> </w:t>
      </w:r>
      <w:r w:rsidR="002E79CA">
        <w:rPr>
          <w:b w:val="0"/>
          <w:bCs/>
          <w:i/>
          <w:sz w:val="22"/>
          <w:szCs w:val="22"/>
        </w:rPr>
        <w:t>or with notification</w:t>
      </w:r>
      <w:r w:rsidR="00E30840">
        <w:rPr>
          <w:b w:val="0"/>
          <w:bCs/>
          <w:i/>
          <w:sz w:val="22"/>
          <w:szCs w:val="22"/>
        </w:rPr>
        <w:t xml:space="preserve"> from the Dean of S</w:t>
      </w:r>
      <w:r w:rsidR="002E79CA">
        <w:rPr>
          <w:b w:val="0"/>
          <w:bCs/>
          <w:i/>
          <w:sz w:val="22"/>
          <w:szCs w:val="22"/>
        </w:rPr>
        <w:t>tudents office</w:t>
      </w:r>
      <w:r w:rsidR="00E30840">
        <w:rPr>
          <w:b w:val="0"/>
          <w:bCs/>
          <w:i/>
          <w:sz w:val="22"/>
          <w:szCs w:val="22"/>
        </w:rPr>
        <w:t xml:space="preserve"> </w:t>
      </w:r>
      <w:r w:rsidR="00E30840">
        <w:rPr>
          <w:b w:val="0"/>
          <w:bCs/>
          <w:sz w:val="22"/>
          <w:szCs w:val="22"/>
        </w:rPr>
        <w:t>[</w:t>
      </w:r>
      <w:r w:rsidR="00E30840" w:rsidRPr="00E30840">
        <w:rPr>
          <w:b w:val="0"/>
          <w:sz w:val="22"/>
          <w:szCs w:val="22"/>
        </w:rPr>
        <w:t>Studen</w:t>
      </w:r>
      <w:r w:rsidR="00E30840">
        <w:rPr>
          <w:b w:val="0"/>
          <w:sz w:val="22"/>
          <w:szCs w:val="22"/>
        </w:rPr>
        <w:t>t Center, 4th floor, Suite 400,</w:t>
      </w:r>
      <w:r w:rsidR="00E30840" w:rsidRPr="00E30840">
        <w:rPr>
          <w:b w:val="0"/>
          <w:sz w:val="22"/>
          <w:szCs w:val="22"/>
        </w:rPr>
        <w:t xml:space="preserve"> (973) 655-4118</w:t>
      </w:r>
      <w:r w:rsidR="00E30840">
        <w:rPr>
          <w:b w:val="0"/>
          <w:sz w:val="22"/>
          <w:szCs w:val="22"/>
        </w:rPr>
        <w:t>].</w:t>
      </w:r>
    </w:p>
    <w:p w:rsidR="00411695" w:rsidRDefault="00411695">
      <w:pPr>
        <w:rPr>
          <w:b w:val="0"/>
          <w:bCs/>
          <w:sz w:val="22"/>
        </w:rPr>
      </w:pPr>
    </w:p>
    <w:p w:rsidR="009E5632" w:rsidRPr="009E5632" w:rsidRDefault="009E5632" w:rsidP="009E5632">
      <w:pPr>
        <w:rPr>
          <w:bCs/>
          <w:szCs w:val="24"/>
        </w:rPr>
      </w:pPr>
      <w:r w:rsidRPr="009E5632">
        <w:rPr>
          <w:bCs/>
          <w:szCs w:val="24"/>
        </w:rPr>
        <w:t>Demonstrating Learning:</w:t>
      </w:r>
    </w:p>
    <w:p w:rsidR="009E5632" w:rsidRDefault="009825AE" w:rsidP="009E5632">
      <w:pPr>
        <w:rPr>
          <w:b w:val="0"/>
          <w:bCs/>
          <w:sz w:val="22"/>
        </w:rPr>
      </w:pPr>
      <w:r>
        <w:rPr>
          <w:b w:val="0"/>
          <w:bCs/>
          <w:sz w:val="22"/>
        </w:rPr>
        <w:t>The following activities will help you learn, and let you and I know how you are doing in the course</w:t>
      </w:r>
      <w:r w:rsidR="00D44F84">
        <w:rPr>
          <w:b w:val="0"/>
          <w:bCs/>
          <w:sz w:val="22"/>
        </w:rPr>
        <w:t xml:space="preserve"> </w:t>
      </w:r>
      <w:r w:rsidR="00A118DC">
        <w:rPr>
          <w:b w:val="0"/>
          <w:bCs/>
          <w:sz w:val="22"/>
        </w:rPr>
        <w:t>and your final grade will be based on the following percentages:</w:t>
      </w:r>
    </w:p>
    <w:p w:rsidR="00A6174C" w:rsidRPr="00A6174C" w:rsidRDefault="00A6174C" w:rsidP="00A6174C">
      <w:pPr>
        <w:rPr>
          <w:rFonts w:eastAsia="ＭＳ 明朝"/>
          <w:sz w:val="22"/>
          <w:szCs w:val="22"/>
        </w:rPr>
      </w:pPr>
    </w:p>
    <w:tbl>
      <w:tblPr>
        <w:tblStyle w:val="TableGrid"/>
        <w:tblW w:w="0" w:type="auto"/>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3420"/>
        <w:gridCol w:w="1440"/>
      </w:tblGrid>
      <w:tr w:rsidR="00A6174C" w:rsidRPr="00A6174C">
        <w:tc>
          <w:tcPr>
            <w:tcW w:w="3420" w:type="dxa"/>
            <w:shd w:val="clear" w:color="auto" w:fill="auto"/>
          </w:tcPr>
          <w:p w:rsidR="00A6174C" w:rsidRPr="00A6174C" w:rsidRDefault="00A6174C" w:rsidP="00A6174C">
            <w:pPr>
              <w:rPr>
                <w:b w:val="0"/>
                <w:sz w:val="22"/>
                <w:szCs w:val="22"/>
              </w:rPr>
            </w:pPr>
            <w:r w:rsidRPr="00A6174C">
              <w:rPr>
                <w:b w:val="0"/>
                <w:sz w:val="22"/>
                <w:szCs w:val="22"/>
              </w:rPr>
              <w:t>Homework and Classwork</w:t>
            </w:r>
          </w:p>
        </w:tc>
        <w:tc>
          <w:tcPr>
            <w:tcW w:w="1440" w:type="dxa"/>
            <w:shd w:val="clear" w:color="auto" w:fill="auto"/>
          </w:tcPr>
          <w:p w:rsidR="00A6174C" w:rsidRPr="00A6174C" w:rsidRDefault="00BC4567" w:rsidP="00A6174C">
            <w:pPr>
              <w:jc w:val="right"/>
              <w:rPr>
                <w:b w:val="0"/>
                <w:sz w:val="22"/>
                <w:szCs w:val="22"/>
              </w:rPr>
            </w:pPr>
            <w:r>
              <w:rPr>
                <w:b w:val="0"/>
                <w:sz w:val="22"/>
                <w:szCs w:val="22"/>
              </w:rPr>
              <w:t>34</w:t>
            </w:r>
            <w:r w:rsidR="00A6174C" w:rsidRPr="00A6174C">
              <w:rPr>
                <w:b w:val="0"/>
                <w:sz w:val="22"/>
                <w:szCs w:val="22"/>
              </w:rPr>
              <w:t>%</w:t>
            </w:r>
          </w:p>
        </w:tc>
      </w:tr>
      <w:tr w:rsidR="00A6174C" w:rsidRPr="00C26790">
        <w:tc>
          <w:tcPr>
            <w:tcW w:w="3420" w:type="dxa"/>
            <w:shd w:val="clear" w:color="auto" w:fill="auto"/>
          </w:tcPr>
          <w:p w:rsidR="00A6174C" w:rsidRPr="00C26790" w:rsidRDefault="007429F2" w:rsidP="00A6174C">
            <w:pPr>
              <w:rPr>
                <w:b w:val="0"/>
                <w:sz w:val="22"/>
                <w:szCs w:val="22"/>
              </w:rPr>
            </w:pPr>
            <w:r w:rsidRPr="00C26790">
              <w:rPr>
                <w:b w:val="0"/>
                <w:sz w:val="22"/>
                <w:szCs w:val="22"/>
              </w:rPr>
              <w:t>In-class assessments</w:t>
            </w:r>
          </w:p>
          <w:p w:rsidR="007429F2" w:rsidRPr="00C26790" w:rsidRDefault="00C26790" w:rsidP="00A6174C">
            <w:pPr>
              <w:rPr>
                <w:b w:val="0"/>
                <w:sz w:val="22"/>
                <w:szCs w:val="22"/>
              </w:rPr>
            </w:pPr>
            <w:r w:rsidRPr="00C26790">
              <w:rPr>
                <w:b w:val="0"/>
                <w:sz w:val="22"/>
                <w:szCs w:val="22"/>
              </w:rPr>
              <w:t xml:space="preserve">         Tests </w:t>
            </w:r>
          </w:p>
          <w:p w:rsidR="00C26790" w:rsidRPr="00C26790" w:rsidRDefault="00C26790" w:rsidP="00A6174C">
            <w:pPr>
              <w:rPr>
                <w:b w:val="0"/>
                <w:sz w:val="22"/>
                <w:szCs w:val="22"/>
              </w:rPr>
            </w:pPr>
            <w:r w:rsidRPr="00C26790">
              <w:rPr>
                <w:b w:val="0"/>
                <w:sz w:val="22"/>
                <w:szCs w:val="22"/>
              </w:rPr>
              <w:t xml:space="preserve">         Quizzes</w:t>
            </w:r>
          </w:p>
        </w:tc>
        <w:tc>
          <w:tcPr>
            <w:tcW w:w="1440" w:type="dxa"/>
            <w:shd w:val="clear" w:color="auto" w:fill="auto"/>
          </w:tcPr>
          <w:p w:rsidR="00C26790" w:rsidRPr="00C26790" w:rsidRDefault="00C26790" w:rsidP="00C26790">
            <w:pPr>
              <w:jc w:val="right"/>
              <w:rPr>
                <w:b w:val="0"/>
                <w:sz w:val="22"/>
                <w:szCs w:val="22"/>
              </w:rPr>
            </w:pPr>
          </w:p>
          <w:p w:rsidR="00C26790" w:rsidRPr="00C26790" w:rsidRDefault="00C26790" w:rsidP="00C26790">
            <w:pPr>
              <w:jc w:val="right"/>
              <w:rPr>
                <w:b w:val="0"/>
                <w:sz w:val="22"/>
                <w:szCs w:val="22"/>
              </w:rPr>
            </w:pPr>
            <w:r w:rsidRPr="00C26790">
              <w:rPr>
                <w:b w:val="0"/>
                <w:sz w:val="22"/>
                <w:szCs w:val="22"/>
              </w:rPr>
              <w:t>24%</w:t>
            </w:r>
          </w:p>
          <w:p w:rsidR="00C26790" w:rsidRPr="00C26790" w:rsidRDefault="00C26790" w:rsidP="00C26790">
            <w:pPr>
              <w:jc w:val="right"/>
              <w:rPr>
                <w:b w:val="0"/>
                <w:sz w:val="22"/>
                <w:szCs w:val="22"/>
              </w:rPr>
            </w:pPr>
            <w:r w:rsidRPr="00C26790">
              <w:rPr>
                <w:b w:val="0"/>
                <w:sz w:val="22"/>
                <w:szCs w:val="22"/>
              </w:rPr>
              <w:t>12%</w:t>
            </w:r>
          </w:p>
        </w:tc>
      </w:tr>
      <w:tr w:rsidR="00A6174C" w:rsidRPr="00C26790">
        <w:tc>
          <w:tcPr>
            <w:tcW w:w="3420" w:type="dxa"/>
            <w:shd w:val="clear" w:color="auto" w:fill="auto"/>
          </w:tcPr>
          <w:p w:rsidR="00A6174C" w:rsidRPr="00C26790" w:rsidRDefault="00A6174C" w:rsidP="00A6174C">
            <w:pPr>
              <w:rPr>
                <w:b w:val="0"/>
                <w:sz w:val="22"/>
                <w:szCs w:val="22"/>
              </w:rPr>
            </w:pPr>
            <w:r w:rsidRPr="00C26790">
              <w:rPr>
                <w:b w:val="0"/>
                <w:sz w:val="22"/>
                <w:szCs w:val="22"/>
              </w:rPr>
              <w:t>Project</w:t>
            </w:r>
          </w:p>
        </w:tc>
        <w:tc>
          <w:tcPr>
            <w:tcW w:w="1440" w:type="dxa"/>
            <w:shd w:val="clear" w:color="auto" w:fill="auto"/>
          </w:tcPr>
          <w:p w:rsidR="00A6174C" w:rsidRPr="00C26790" w:rsidRDefault="00BC4567" w:rsidP="00A6174C">
            <w:pPr>
              <w:jc w:val="right"/>
              <w:rPr>
                <w:b w:val="0"/>
                <w:sz w:val="22"/>
                <w:szCs w:val="22"/>
              </w:rPr>
            </w:pPr>
            <w:r>
              <w:rPr>
                <w:b w:val="0"/>
                <w:sz w:val="22"/>
                <w:szCs w:val="22"/>
              </w:rPr>
              <w:t>15</w:t>
            </w:r>
            <w:r w:rsidR="00A6174C" w:rsidRPr="00C26790">
              <w:rPr>
                <w:b w:val="0"/>
                <w:sz w:val="22"/>
                <w:szCs w:val="22"/>
              </w:rPr>
              <w:t>%</w:t>
            </w:r>
          </w:p>
        </w:tc>
      </w:tr>
      <w:tr w:rsidR="00A6174C" w:rsidRPr="00C26790">
        <w:tc>
          <w:tcPr>
            <w:tcW w:w="3420" w:type="dxa"/>
            <w:shd w:val="clear" w:color="auto" w:fill="auto"/>
          </w:tcPr>
          <w:p w:rsidR="00A6174C" w:rsidRPr="00C26790" w:rsidRDefault="00A6174C" w:rsidP="00A6174C">
            <w:pPr>
              <w:rPr>
                <w:b w:val="0"/>
                <w:sz w:val="22"/>
                <w:szCs w:val="22"/>
              </w:rPr>
            </w:pPr>
            <w:r w:rsidRPr="00C26790">
              <w:rPr>
                <w:b w:val="0"/>
                <w:sz w:val="22"/>
                <w:szCs w:val="22"/>
              </w:rPr>
              <w:t>Final Exam</w:t>
            </w:r>
          </w:p>
        </w:tc>
        <w:tc>
          <w:tcPr>
            <w:tcW w:w="1440" w:type="dxa"/>
            <w:shd w:val="clear" w:color="auto" w:fill="auto"/>
          </w:tcPr>
          <w:p w:rsidR="00A6174C" w:rsidRPr="00C26790" w:rsidRDefault="00BC4567" w:rsidP="00A6174C">
            <w:pPr>
              <w:jc w:val="right"/>
              <w:rPr>
                <w:b w:val="0"/>
                <w:sz w:val="22"/>
                <w:szCs w:val="22"/>
              </w:rPr>
            </w:pPr>
            <w:r>
              <w:rPr>
                <w:b w:val="0"/>
                <w:sz w:val="22"/>
                <w:szCs w:val="22"/>
              </w:rPr>
              <w:t>15</w:t>
            </w:r>
            <w:r w:rsidR="00A6174C" w:rsidRPr="00C26790">
              <w:rPr>
                <w:b w:val="0"/>
                <w:sz w:val="22"/>
                <w:szCs w:val="22"/>
              </w:rPr>
              <w:t>%</w:t>
            </w:r>
          </w:p>
        </w:tc>
      </w:tr>
    </w:tbl>
    <w:p w:rsidR="009825AE" w:rsidRDefault="009825AE" w:rsidP="009E5632">
      <w:pPr>
        <w:rPr>
          <w:b w:val="0"/>
          <w:bCs/>
          <w:sz w:val="22"/>
        </w:rPr>
      </w:pPr>
    </w:p>
    <w:p w:rsidR="009825AE" w:rsidRDefault="00A118DC" w:rsidP="009825AE">
      <w:pPr>
        <w:ind w:left="720"/>
        <w:rPr>
          <w:bCs/>
          <w:sz w:val="22"/>
        </w:rPr>
      </w:pPr>
      <w:r>
        <w:rPr>
          <w:bCs/>
          <w:sz w:val="22"/>
        </w:rPr>
        <w:t>Homework and Classwork</w:t>
      </w:r>
      <w:r w:rsidR="009825AE">
        <w:rPr>
          <w:bCs/>
          <w:sz w:val="22"/>
        </w:rPr>
        <w:t xml:space="preserve"> (</w:t>
      </w:r>
      <w:r w:rsidR="00BC4567">
        <w:rPr>
          <w:bCs/>
          <w:sz w:val="22"/>
        </w:rPr>
        <w:t>34</w:t>
      </w:r>
      <w:r w:rsidR="009825AE">
        <w:rPr>
          <w:bCs/>
          <w:sz w:val="22"/>
        </w:rPr>
        <w:t>%)</w:t>
      </w:r>
    </w:p>
    <w:p w:rsidR="009825AE" w:rsidRPr="00954848" w:rsidRDefault="009825AE" w:rsidP="009825AE">
      <w:pPr>
        <w:ind w:left="720"/>
        <w:rPr>
          <w:b w:val="0"/>
          <w:bCs/>
          <w:sz w:val="22"/>
        </w:rPr>
      </w:pPr>
      <w:r>
        <w:rPr>
          <w:b w:val="0"/>
          <w:bCs/>
          <w:sz w:val="22"/>
        </w:rPr>
        <w:t xml:space="preserve">Homework will be </w:t>
      </w:r>
      <w:r w:rsidR="00411695">
        <w:rPr>
          <w:b w:val="0"/>
          <w:bCs/>
          <w:sz w:val="22"/>
        </w:rPr>
        <w:t>assigned and collected frequently, and will be an important means of learning</w:t>
      </w:r>
      <w:r w:rsidR="00E30840">
        <w:rPr>
          <w:b w:val="0"/>
          <w:bCs/>
          <w:sz w:val="22"/>
        </w:rPr>
        <w:t xml:space="preserve">. </w:t>
      </w:r>
      <w:r w:rsidR="00411695">
        <w:rPr>
          <w:b w:val="0"/>
          <w:bCs/>
          <w:sz w:val="22"/>
        </w:rPr>
        <w:t>It will take multiple forms such as doing mathematics problems, examining artifacts of teaching and learning, and reading and reflecting on articles</w:t>
      </w:r>
      <w:r w:rsidR="00E30840">
        <w:rPr>
          <w:b w:val="0"/>
          <w:bCs/>
          <w:sz w:val="22"/>
        </w:rPr>
        <w:t xml:space="preserve">. </w:t>
      </w:r>
      <w:r w:rsidR="00411695">
        <w:rPr>
          <w:b w:val="0"/>
          <w:bCs/>
          <w:sz w:val="22"/>
        </w:rPr>
        <w:t>Most h</w:t>
      </w:r>
      <w:r>
        <w:rPr>
          <w:b w:val="0"/>
          <w:bCs/>
          <w:sz w:val="22"/>
        </w:rPr>
        <w:t xml:space="preserve">omework will </w:t>
      </w:r>
      <w:r w:rsidR="00411695">
        <w:rPr>
          <w:b w:val="0"/>
          <w:bCs/>
          <w:sz w:val="22"/>
        </w:rPr>
        <w:t>not come</w:t>
      </w:r>
      <w:r>
        <w:rPr>
          <w:b w:val="0"/>
          <w:bCs/>
          <w:sz w:val="22"/>
        </w:rPr>
        <w:t xml:space="preserve"> from the textbook</w:t>
      </w:r>
      <w:r w:rsidR="00E30840">
        <w:rPr>
          <w:b w:val="0"/>
          <w:bCs/>
          <w:sz w:val="22"/>
        </w:rPr>
        <w:t xml:space="preserve">. </w:t>
      </w:r>
      <w:r w:rsidR="00954848">
        <w:rPr>
          <w:b w:val="0"/>
          <w:bCs/>
          <w:sz w:val="22"/>
        </w:rPr>
        <w:t>In-class assignments may be graded as well</w:t>
      </w:r>
      <w:r w:rsidR="00E30840">
        <w:rPr>
          <w:b w:val="0"/>
          <w:bCs/>
          <w:sz w:val="22"/>
        </w:rPr>
        <w:t xml:space="preserve">. </w:t>
      </w:r>
      <w:r>
        <w:rPr>
          <w:b w:val="0"/>
          <w:bCs/>
          <w:sz w:val="22"/>
        </w:rPr>
        <w:t xml:space="preserve">You may </w:t>
      </w:r>
      <w:r w:rsidR="00954848">
        <w:rPr>
          <w:b w:val="0"/>
          <w:bCs/>
          <w:sz w:val="22"/>
        </w:rPr>
        <w:t>share ideas</w:t>
      </w:r>
      <w:r>
        <w:rPr>
          <w:b w:val="0"/>
          <w:bCs/>
          <w:sz w:val="22"/>
        </w:rPr>
        <w:t xml:space="preserve"> on</w:t>
      </w:r>
      <w:r w:rsidR="009F27E3">
        <w:rPr>
          <w:b w:val="0"/>
          <w:bCs/>
          <w:sz w:val="22"/>
        </w:rPr>
        <w:t xml:space="preserve"> homework or seek other resources (e.g. look up how to do something on the </w:t>
      </w:r>
      <w:proofErr w:type="gramStart"/>
      <w:r w:rsidR="009F27E3">
        <w:rPr>
          <w:b w:val="0"/>
          <w:bCs/>
          <w:sz w:val="22"/>
        </w:rPr>
        <w:t>internet</w:t>
      </w:r>
      <w:proofErr w:type="gramEnd"/>
      <w:r w:rsidR="009F27E3">
        <w:rPr>
          <w:b w:val="0"/>
          <w:bCs/>
          <w:sz w:val="22"/>
        </w:rPr>
        <w:t xml:space="preserve">), but you should clearly indicate this on your work (i.e. at the end of a problem, you could say “I worked with [name] on this problem” or </w:t>
      </w:r>
      <w:r w:rsidR="009101FA">
        <w:rPr>
          <w:b w:val="0"/>
          <w:bCs/>
          <w:sz w:val="22"/>
        </w:rPr>
        <w:t>“</w:t>
      </w:r>
      <w:r w:rsidR="009F27E3">
        <w:rPr>
          <w:b w:val="0"/>
          <w:bCs/>
          <w:sz w:val="22"/>
        </w:rPr>
        <w:t xml:space="preserve">I got </w:t>
      </w:r>
      <w:r w:rsidR="009101FA">
        <w:rPr>
          <w:b w:val="0"/>
          <w:bCs/>
          <w:sz w:val="22"/>
        </w:rPr>
        <w:t xml:space="preserve">[specific </w:t>
      </w:r>
      <w:r w:rsidR="009F27E3">
        <w:rPr>
          <w:b w:val="0"/>
          <w:bCs/>
          <w:sz w:val="22"/>
        </w:rPr>
        <w:t>ideas</w:t>
      </w:r>
      <w:r w:rsidR="009101FA">
        <w:rPr>
          <w:b w:val="0"/>
          <w:bCs/>
          <w:sz w:val="22"/>
        </w:rPr>
        <w:t>]</w:t>
      </w:r>
      <w:r w:rsidR="009F27E3">
        <w:rPr>
          <w:b w:val="0"/>
          <w:bCs/>
          <w:sz w:val="22"/>
        </w:rPr>
        <w:t xml:space="preserve"> from [website </w:t>
      </w:r>
      <w:proofErr w:type="spellStart"/>
      <w:r w:rsidR="009F27E3">
        <w:rPr>
          <w:b w:val="0"/>
          <w:bCs/>
          <w:sz w:val="22"/>
        </w:rPr>
        <w:t>url</w:t>
      </w:r>
      <w:proofErr w:type="spellEnd"/>
      <w:r w:rsidR="009F27E3">
        <w:rPr>
          <w:b w:val="0"/>
          <w:bCs/>
          <w:sz w:val="22"/>
        </w:rPr>
        <w:t xml:space="preserve">].” </w:t>
      </w:r>
      <w:r w:rsidR="00954848">
        <w:rPr>
          <w:b w:val="0"/>
          <w:bCs/>
          <w:sz w:val="22"/>
        </w:rPr>
        <w:t xml:space="preserve"> Each of you must write up your assignments independently; copying someone else’s work is </w:t>
      </w:r>
      <w:r w:rsidR="00954848">
        <w:rPr>
          <w:b w:val="0"/>
          <w:bCs/>
          <w:i/>
          <w:sz w:val="22"/>
        </w:rPr>
        <w:t>plagiarism</w:t>
      </w:r>
      <w:r w:rsidR="00954848">
        <w:rPr>
          <w:b w:val="0"/>
          <w:bCs/>
          <w:sz w:val="22"/>
        </w:rPr>
        <w:t xml:space="preserve"> </w:t>
      </w:r>
      <w:r w:rsidR="00954848" w:rsidRPr="00954848">
        <w:rPr>
          <w:b w:val="0"/>
          <w:bCs/>
          <w:i/>
          <w:sz w:val="22"/>
        </w:rPr>
        <w:t>and academically dishonest</w:t>
      </w:r>
      <w:r w:rsidR="00954848">
        <w:rPr>
          <w:b w:val="0"/>
          <w:bCs/>
          <w:sz w:val="22"/>
        </w:rPr>
        <w:t>.</w:t>
      </w:r>
    </w:p>
    <w:p w:rsidR="009F27E3" w:rsidRDefault="009F27E3" w:rsidP="009825AE">
      <w:pPr>
        <w:ind w:left="720"/>
        <w:rPr>
          <w:b w:val="0"/>
          <w:bCs/>
          <w:sz w:val="22"/>
        </w:rPr>
      </w:pPr>
    </w:p>
    <w:p w:rsidR="004424F4" w:rsidRDefault="00954848" w:rsidP="009825AE">
      <w:pPr>
        <w:ind w:left="720"/>
        <w:rPr>
          <w:bCs/>
          <w:sz w:val="22"/>
        </w:rPr>
      </w:pPr>
      <w:r>
        <w:rPr>
          <w:bCs/>
          <w:sz w:val="22"/>
        </w:rPr>
        <w:t>In-class assessments</w:t>
      </w:r>
      <w:r w:rsidR="004424F4">
        <w:rPr>
          <w:bCs/>
          <w:sz w:val="22"/>
        </w:rPr>
        <w:t xml:space="preserve"> (</w:t>
      </w:r>
      <w:r w:rsidR="00DA24F2">
        <w:rPr>
          <w:bCs/>
          <w:sz w:val="22"/>
        </w:rPr>
        <w:t>36</w:t>
      </w:r>
      <w:r w:rsidR="004424F4">
        <w:rPr>
          <w:bCs/>
          <w:sz w:val="22"/>
        </w:rPr>
        <w:t>%)</w:t>
      </w:r>
      <w:r w:rsidR="000A7313">
        <w:rPr>
          <w:bCs/>
          <w:sz w:val="22"/>
        </w:rPr>
        <w:t>: Tests (24%), Quizzes (12%)</w:t>
      </w:r>
    </w:p>
    <w:p w:rsidR="000A7313" w:rsidRDefault="00954848" w:rsidP="009825AE">
      <w:pPr>
        <w:ind w:left="720"/>
        <w:rPr>
          <w:b w:val="0"/>
          <w:bCs/>
          <w:i/>
          <w:sz w:val="22"/>
          <w:szCs w:val="22"/>
        </w:rPr>
      </w:pPr>
      <w:r>
        <w:rPr>
          <w:b w:val="0"/>
          <w:bCs/>
          <w:sz w:val="22"/>
        </w:rPr>
        <w:t>There will be at least t</w:t>
      </w:r>
      <w:r w:rsidR="00CA52EF">
        <w:rPr>
          <w:b w:val="0"/>
          <w:bCs/>
          <w:sz w:val="22"/>
        </w:rPr>
        <w:t>hree</w:t>
      </w:r>
      <w:r>
        <w:rPr>
          <w:b w:val="0"/>
          <w:bCs/>
          <w:sz w:val="22"/>
        </w:rPr>
        <w:t xml:space="preserve"> </w:t>
      </w:r>
      <w:r w:rsidR="00556CAE">
        <w:rPr>
          <w:b w:val="0"/>
          <w:bCs/>
          <w:sz w:val="22"/>
        </w:rPr>
        <w:t xml:space="preserve">quizzes </w:t>
      </w:r>
      <w:r w:rsidR="00270553">
        <w:rPr>
          <w:b w:val="0"/>
          <w:bCs/>
          <w:sz w:val="22"/>
        </w:rPr>
        <w:t xml:space="preserve">(each worth 4% of your grade) </w:t>
      </w:r>
      <w:r w:rsidR="00556CAE">
        <w:rPr>
          <w:b w:val="0"/>
          <w:bCs/>
          <w:sz w:val="22"/>
        </w:rPr>
        <w:t>and two tests</w:t>
      </w:r>
      <w:r>
        <w:rPr>
          <w:b w:val="0"/>
          <w:bCs/>
          <w:sz w:val="22"/>
        </w:rPr>
        <w:t xml:space="preserve"> </w:t>
      </w:r>
      <w:r w:rsidR="00270553">
        <w:rPr>
          <w:b w:val="0"/>
          <w:bCs/>
          <w:sz w:val="22"/>
        </w:rPr>
        <w:t xml:space="preserve">(each worth 12%) </w:t>
      </w:r>
      <w:r>
        <w:rPr>
          <w:b w:val="0"/>
          <w:bCs/>
          <w:sz w:val="22"/>
        </w:rPr>
        <w:t>that will be completed individually in class, with dates announced in advance</w:t>
      </w:r>
      <w:r w:rsidR="00E30840">
        <w:rPr>
          <w:b w:val="0"/>
          <w:bCs/>
          <w:sz w:val="22"/>
        </w:rPr>
        <w:t>.</w:t>
      </w:r>
      <w:r w:rsidR="00270553">
        <w:rPr>
          <w:b w:val="0"/>
          <w:bCs/>
          <w:sz w:val="22"/>
        </w:rPr>
        <w:t xml:space="preserve"> The purpose of the quizzes is primarily to provide low-risk opportunities for self-assessment at various points during the course.  </w:t>
      </w:r>
      <w:r w:rsidR="00D7036D">
        <w:rPr>
          <w:b w:val="0"/>
          <w:bCs/>
          <w:i/>
          <w:sz w:val="22"/>
          <w:szCs w:val="22"/>
        </w:rPr>
        <w:t>In-class assessments</w:t>
      </w:r>
      <w:r w:rsidR="00D7036D" w:rsidRPr="00FE5B5B">
        <w:rPr>
          <w:b w:val="0"/>
          <w:bCs/>
          <w:i/>
          <w:sz w:val="22"/>
          <w:szCs w:val="22"/>
        </w:rPr>
        <w:t xml:space="preserve"> can </w:t>
      </w:r>
      <w:r w:rsidR="00D7036D">
        <w:rPr>
          <w:b w:val="0"/>
          <w:bCs/>
          <w:i/>
          <w:sz w:val="22"/>
          <w:szCs w:val="22"/>
        </w:rPr>
        <w:t xml:space="preserve">only </w:t>
      </w:r>
      <w:r w:rsidR="00D7036D" w:rsidRPr="00FE5B5B">
        <w:rPr>
          <w:b w:val="0"/>
          <w:bCs/>
          <w:i/>
          <w:sz w:val="22"/>
          <w:szCs w:val="22"/>
        </w:rPr>
        <w:t>be made up</w:t>
      </w:r>
      <w:r w:rsidR="00D7036D">
        <w:rPr>
          <w:b w:val="0"/>
          <w:bCs/>
          <w:i/>
          <w:sz w:val="22"/>
          <w:szCs w:val="22"/>
        </w:rPr>
        <w:t xml:space="preserve"> for extreme</w:t>
      </w:r>
      <w:r w:rsidR="00556CAE">
        <w:rPr>
          <w:b w:val="0"/>
          <w:bCs/>
          <w:i/>
          <w:sz w:val="22"/>
          <w:szCs w:val="22"/>
        </w:rPr>
        <w:t xml:space="preserve"> circumstances that are</w:t>
      </w:r>
      <w:r w:rsidR="00D7036D">
        <w:rPr>
          <w:b w:val="0"/>
          <w:bCs/>
          <w:i/>
          <w:sz w:val="22"/>
          <w:szCs w:val="22"/>
        </w:rPr>
        <w:t xml:space="preserve"> communicated to me</w:t>
      </w:r>
      <w:r w:rsidR="00556CAE">
        <w:rPr>
          <w:b w:val="0"/>
          <w:bCs/>
          <w:i/>
          <w:sz w:val="22"/>
          <w:szCs w:val="22"/>
        </w:rPr>
        <w:t xml:space="preserve"> in advance</w:t>
      </w:r>
      <w:r w:rsidR="00D7036D">
        <w:rPr>
          <w:b w:val="0"/>
          <w:bCs/>
          <w:i/>
          <w:sz w:val="22"/>
          <w:szCs w:val="22"/>
        </w:rPr>
        <w:t xml:space="preserve">. </w:t>
      </w:r>
    </w:p>
    <w:p w:rsidR="000A7313" w:rsidRDefault="000A7313" w:rsidP="009825AE">
      <w:pPr>
        <w:ind w:left="720"/>
        <w:rPr>
          <w:b w:val="0"/>
          <w:bCs/>
          <w:i/>
          <w:sz w:val="22"/>
          <w:szCs w:val="22"/>
        </w:rPr>
      </w:pPr>
    </w:p>
    <w:p w:rsidR="004424F4" w:rsidRPr="00A91DEA" w:rsidRDefault="00FE5B5B" w:rsidP="009825AE">
      <w:pPr>
        <w:ind w:left="720"/>
        <w:rPr>
          <w:b w:val="0"/>
          <w:bCs/>
          <w:sz w:val="22"/>
        </w:rPr>
      </w:pPr>
      <w:r>
        <w:rPr>
          <w:b w:val="0"/>
          <w:bCs/>
          <w:sz w:val="22"/>
        </w:rPr>
        <w:t xml:space="preserve">If for any reason (such as bad weather), school is </w:t>
      </w:r>
      <w:r w:rsidRPr="00EF03B1">
        <w:rPr>
          <w:b w:val="0"/>
          <w:bCs/>
          <w:i/>
          <w:sz w:val="22"/>
        </w:rPr>
        <w:t>officially</w:t>
      </w:r>
      <w:r>
        <w:rPr>
          <w:b w:val="0"/>
          <w:bCs/>
          <w:sz w:val="22"/>
        </w:rPr>
        <w:t xml:space="preserve"> closed on the day of an </w:t>
      </w:r>
      <w:proofErr w:type="gramStart"/>
      <w:r>
        <w:rPr>
          <w:b w:val="0"/>
          <w:bCs/>
          <w:sz w:val="22"/>
        </w:rPr>
        <w:t>assessment,</w:t>
      </w:r>
      <w:proofErr w:type="gramEnd"/>
      <w:r>
        <w:rPr>
          <w:b w:val="0"/>
          <w:bCs/>
          <w:sz w:val="22"/>
        </w:rPr>
        <w:t xml:space="preserve"> it will be given during the next class period.</w:t>
      </w:r>
      <w:r w:rsidR="000A7313">
        <w:rPr>
          <w:b w:val="0"/>
          <w:bCs/>
          <w:sz w:val="22"/>
        </w:rPr>
        <w:t xml:space="preserve"> The anticipated date</w:t>
      </w:r>
      <w:r w:rsidR="00A91DEA">
        <w:rPr>
          <w:b w:val="0"/>
          <w:bCs/>
          <w:sz w:val="22"/>
        </w:rPr>
        <w:t>s</w:t>
      </w:r>
      <w:r w:rsidR="000A7313">
        <w:rPr>
          <w:b w:val="0"/>
          <w:bCs/>
          <w:sz w:val="22"/>
        </w:rPr>
        <w:t xml:space="preserve"> of the tests are: </w:t>
      </w:r>
      <w:r w:rsidR="00270553">
        <w:rPr>
          <w:bCs/>
          <w:sz w:val="22"/>
        </w:rPr>
        <w:t>October 10</w:t>
      </w:r>
      <w:r w:rsidR="00270553" w:rsidRPr="00270553">
        <w:rPr>
          <w:bCs/>
          <w:sz w:val="22"/>
          <w:vertAlign w:val="superscript"/>
        </w:rPr>
        <w:t>th</w:t>
      </w:r>
      <w:r w:rsidR="00270553">
        <w:rPr>
          <w:bCs/>
          <w:sz w:val="22"/>
        </w:rPr>
        <w:t xml:space="preserve"> and November 17</w:t>
      </w:r>
      <w:r w:rsidR="00270553" w:rsidRPr="00270553">
        <w:rPr>
          <w:bCs/>
          <w:sz w:val="22"/>
          <w:vertAlign w:val="superscript"/>
        </w:rPr>
        <w:t>th</w:t>
      </w:r>
      <w:r w:rsidR="000A7313">
        <w:rPr>
          <w:b w:val="0"/>
          <w:bCs/>
          <w:sz w:val="22"/>
        </w:rPr>
        <w:t xml:space="preserve">. The tentative dates for the quizzes are: </w:t>
      </w:r>
      <w:r w:rsidR="00270553">
        <w:rPr>
          <w:bCs/>
          <w:sz w:val="22"/>
        </w:rPr>
        <w:t>September 24</w:t>
      </w:r>
      <w:r w:rsidR="00270553" w:rsidRPr="00270553">
        <w:rPr>
          <w:bCs/>
          <w:sz w:val="22"/>
          <w:vertAlign w:val="superscript"/>
        </w:rPr>
        <w:t>th</w:t>
      </w:r>
      <w:r w:rsidR="00270553">
        <w:rPr>
          <w:bCs/>
          <w:sz w:val="22"/>
        </w:rPr>
        <w:t>, October 24</w:t>
      </w:r>
      <w:r w:rsidR="00270553" w:rsidRPr="00270553">
        <w:rPr>
          <w:bCs/>
          <w:sz w:val="22"/>
          <w:vertAlign w:val="superscript"/>
        </w:rPr>
        <w:t>th</w:t>
      </w:r>
      <w:r w:rsidR="00270553">
        <w:rPr>
          <w:bCs/>
          <w:sz w:val="22"/>
        </w:rPr>
        <w:t>, and November 28</w:t>
      </w:r>
      <w:r w:rsidR="00270553" w:rsidRPr="00270553">
        <w:rPr>
          <w:bCs/>
          <w:sz w:val="22"/>
          <w:vertAlign w:val="superscript"/>
        </w:rPr>
        <w:t>th</w:t>
      </w:r>
      <w:r w:rsidR="00A91DEA">
        <w:rPr>
          <w:bCs/>
          <w:sz w:val="22"/>
        </w:rPr>
        <w:t>.</w:t>
      </w:r>
    </w:p>
    <w:p w:rsidR="00C17508" w:rsidRDefault="00C17508" w:rsidP="009825AE">
      <w:pPr>
        <w:ind w:left="720"/>
        <w:rPr>
          <w:b w:val="0"/>
          <w:bCs/>
          <w:sz w:val="22"/>
        </w:rPr>
      </w:pPr>
    </w:p>
    <w:p w:rsidR="00C17508" w:rsidRDefault="00556CAE" w:rsidP="009825AE">
      <w:pPr>
        <w:ind w:left="720"/>
        <w:rPr>
          <w:bCs/>
          <w:sz w:val="22"/>
        </w:rPr>
      </w:pPr>
      <w:r>
        <w:rPr>
          <w:bCs/>
          <w:sz w:val="22"/>
        </w:rPr>
        <w:t>Project (4</w:t>
      </w:r>
      <w:r w:rsidR="00C17508">
        <w:rPr>
          <w:bCs/>
          <w:sz w:val="22"/>
        </w:rPr>
        <w:t>%)</w:t>
      </w:r>
    </w:p>
    <w:p w:rsidR="00C17508" w:rsidRPr="00C17508" w:rsidRDefault="00C17508" w:rsidP="00C17508">
      <w:pPr>
        <w:ind w:left="720"/>
        <w:rPr>
          <w:b w:val="0"/>
          <w:bCs/>
          <w:sz w:val="22"/>
        </w:rPr>
      </w:pPr>
      <w:r>
        <w:rPr>
          <w:b w:val="0"/>
          <w:bCs/>
          <w:sz w:val="22"/>
        </w:rPr>
        <w:t xml:space="preserve">To give you an authentic learning experience, related to course content and applied to an educational setting, you will complete a project in a local elementary school classroom. </w:t>
      </w:r>
      <w:r w:rsidR="00270553">
        <w:rPr>
          <w:b w:val="0"/>
          <w:bCs/>
          <w:sz w:val="22"/>
        </w:rPr>
        <w:t>The project will involve examining a mathematical task with respect to big ideas and multiple ways that students might approach the task. In addition, y</w:t>
      </w:r>
      <w:r>
        <w:rPr>
          <w:b w:val="0"/>
          <w:bCs/>
          <w:sz w:val="22"/>
        </w:rPr>
        <w:t xml:space="preserve">ou will devote approximately one </w:t>
      </w:r>
      <w:r w:rsidR="00270553">
        <w:rPr>
          <w:b w:val="0"/>
          <w:bCs/>
          <w:sz w:val="22"/>
        </w:rPr>
        <w:t>and a half hours to</w:t>
      </w:r>
      <w:r>
        <w:rPr>
          <w:b w:val="0"/>
          <w:bCs/>
          <w:sz w:val="22"/>
        </w:rPr>
        <w:t xml:space="preserve"> workin</w:t>
      </w:r>
      <w:r w:rsidR="00270553">
        <w:rPr>
          <w:b w:val="0"/>
          <w:bCs/>
          <w:sz w:val="22"/>
        </w:rPr>
        <w:t xml:space="preserve">g with mathematics students on the task. </w:t>
      </w:r>
      <w:r w:rsidRPr="00C17508">
        <w:rPr>
          <w:b w:val="0"/>
          <w:bCs/>
          <w:sz w:val="22"/>
        </w:rPr>
        <w:t xml:space="preserve">More details will be given on the project as we cover the course content. </w:t>
      </w:r>
    </w:p>
    <w:p w:rsidR="004424F4" w:rsidRDefault="004424F4" w:rsidP="009825AE">
      <w:pPr>
        <w:ind w:left="720"/>
        <w:rPr>
          <w:b w:val="0"/>
          <w:bCs/>
          <w:sz w:val="22"/>
        </w:rPr>
      </w:pPr>
    </w:p>
    <w:p w:rsidR="004424F4" w:rsidRDefault="004424F4" w:rsidP="009825AE">
      <w:pPr>
        <w:ind w:left="720"/>
        <w:rPr>
          <w:b w:val="0"/>
          <w:bCs/>
          <w:sz w:val="22"/>
        </w:rPr>
      </w:pPr>
      <w:r>
        <w:rPr>
          <w:bCs/>
          <w:sz w:val="22"/>
        </w:rPr>
        <w:t>Final Exam (</w:t>
      </w:r>
      <w:r w:rsidR="00CA52EF">
        <w:rPr>
          <w:bCs/>
          <w:sz w:val="22"/>
        </w:rPr>
        <w:t>2</w:t>
      </w:r>
      <w:r w:rsidR="00DA24F2">
        <w:rPr>
          <w:bCs/>
          <w:sz w:val="22"/>
        </w:rPr>
        <w:t>4</w:t>
      </w:r>
      <w:r>
        <w:rPr>
          <w:bCs/>
          <w:sz w:val="22"/>
        </w:rPr>
        <w:t>%)</w:t>
      </w:r>
    </w:p>
    <w:p w:rsidR="004424F4" w:rsidRDefault="004424F4" w:rsidP="009825AE">
      <w:pPr>
        <w:ind w:left="720"/>
        <w:rPr>
          <w:b w:val="0"/>
          <w:bCs/>
          <w:sz w:val="22"/>
        </w:rPr>
      </w:pPr>
      <w:r>
        <w:rPr>
          <w:b w:val="0"/>
          <w:bCs/>
          <w:sz w:val="22"/>
        </w:rPr>
        <w:t>The final exam will be cumulative and will take place during our officially scheduled time</w:t>
      </w:r>
      <w:r w:rsidR="00E30840">
        <w:rPr>
          <w:b w:val="0"/>
          <w:bCs/>
          <w:sz w:val="22"/>
        </w:rPr>
        <w:t xml:space="preserve">, on </w:t>
      </w:r>
      <w:r w:rsidR="00E30840" w:rsidRPr="00E30840">
        <w:rPr>
          <w:bCs/>
          <w:sz w:val="22"/>
        </w:rPr>
        <w:t xml:space="preserve">Monday, </w:t>
      </w:r>
      <w:r w:rsidR="00270553">
        <w:rPr>
          <w:bCs/>
          <w:sz w:val="22"/>
        </w:rPr>
        <w:t>December 17</w:t>
      </w:r>
      <w:r w:rsidR="00270553" w:rsidRPr="00270553">
        <w:rPr>
          <w:bCs/>
          <w:sz w:val="22"/>
          <w:vertAlign w:val="superscript"/>
        </w:rPr>
        <w:t>th</w:t>
      </w:r>
      <w:r w:rsidR="00270553">
        <w:rPr>
          <w:bCs/>
          <w:sz w:val="22"/>
        </w:rPr>
        <w:t xml:space="preserve"> from 1:00-3:00</w:t>
      </w:r>
      <w:r w:rsidR="00E30840" w:rsidRPr="00E30840">
        <w:rPr>
          <w:bCs/>
          <w:sz w:val="22"/>
        </w:rPr>
        <w:t>.</w:t>
      </w:r>
      <w:r w:rsidR="00C17508">
        <w:rPr>
          <w:bCs/>
          <w:sz w:val="22"/>
        </w:rPr>
        <w:t xml:space="preserve"> </w:t>
      </w:r>
    </w:p>
    <w:p w:rsidR="004424F4" w:rsidRDefault="004424F4" w:rsidP="009825AE">
      <w:pPr>
        <w:ind w:left="720"/>
        <w:rPr>
          <w:b w:val="0"/>
          <w:bCs/>
          <w:sz w:val="22"/>
        </w:rPr>
      </w:pPr>
    </w:p>
    <w:p w:rsidR="00A118DC" w:rsidRPr="00A6174C" w:rsidRDefault="00A118DC" w:rsidP="00A118DC">
      <w:pPr>
        <w:rPr>
          <w:rFonts w:eastAsia="ＭＳ 明朝"/>
          <w:b w:val="0"/>
          <w:sz w:val="22"/>
          <w:szCs w:val="22"/>
        </w:rPr>
      </w:pPr>
      <w:r w:rsidRPr="00A6174C">
        <w:rPr>
          <w:rFonts w:eastAsia="ＭＳ 明朝"/>
          <w:b w:val="0"/>
          <w:sz w:val="22"/>
          <w:szCs w:val="22"/>
        </w:rPr>
        <w:t>The grading scale is a standard 10-point scale with +/- given in accordance with the Montclair State University grading policies:</w:t>
      </w:r>
    </w:p>
    <w:p w:rsidR="00A118DC" w:rsidRPr="00A6174C" w:rsidRDefault="00A118DC" w:rsidP="00A118DC">
      <w:pPr>
        <w:rPr>
          <w:rFonts w:eastAsia="ＭＳ 明朝"/>
          <w:b w:val="0"/>
          <w:sz w:val="22"/>
          <w:szCs w:val="22"/>
        </w:rPr>
      </w:pPr>
    </w:p>
    <w:p w:rsidR="00A118DC" w:rsidRPr="00A6174C" w:rsidRDefault="00A118DC" w:rsidP="00A118DC">
      <w:pPr>
        <w:rPr>
          <w:rFonts w:eastAsia="ＭＳ 明朝"/>
          <w:b w:val="0"/>
          <w:sz w:val="22"/>
          <w:szCs w:val="22"/>
        </w:rPr>
        <w:sectPr w:rsidR="00A118DC" w:rsidRPr="00A6174C">
          <w:type w:val="continuous"/>
          <w:pgSz w:w="12240" w:h="15840"/>
          <w:pgMar w:top="1080" w:right="1800" w:bottom="720" w:left="1800" w:gutter="0"/>
          <w:docGrid w:linePitch="360"/>
        </w:sectPr>
      </w:pPr>
    </w:p>
    <w:tbl>
      <w:tblPr>
        <w:tblStyle w:val="TableGrid"/>
        <w:tblW w:w="0" w:type="auto"/>
        <w:jc w:val="center"/>
        <w:tblLook w:val="04A0"/>
      </w:tblPr>
      <w:tblGrid>
        <w:gridCol w:w="1638"/>
        <w:gridCol w:w="720"/>
      </w:tblGrid>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93–100</w:t>
            </w:r>
          </w:p>
        </w:tc>
        <w:tc>
          <w:tcPr>
            <w:tcW w:w="720" w:type="dxa"/>
          </w:tcPr>
          <w:p w:rsidR="00A118DC" w:rsidRPr="00A6174C" w:rsidRDefault="00A118DC" w:rsidP="00A118DC">
            <w:pPr>
              <w:rPr>
                <w:b w:val="0"/>
                <w:sz w:val="22"/>
                <w:szCs w:val="22"/>
              </w:rPr>
            </w:pPr>
            <w:r w:rsidRPr="00A6174C">
              <w:rPr>
                <w:b w:val="0"/>
                <w:sz w:val="22"/>
                <w:szCs w:val="22"/>
              </w:rPr>
              <w:t>A</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90–92</w:t>
            </w:r>
          </w:p>
        </w:tc>
        <w:tc>
          <w:tcPr>
            <w:tcW w:w="720" w:type="dxa"/>
          </w:tcPr>
          <w:p w:rsidR="00A118DC" w:rsidRPr="00A6174C" w:rsidRDefault="00A118DC" w:rsidP="00A118DC">
            <w:pPr>
              <w:rPr>
                <w:b w:val="0"/>
                <w:sz w:val="22"/>
                <w:szCs w:val="22"/>
              </w:rPr>
            </w:pPr>
            <w:r w:rsidRPr="00A6174C">
              <w:rPr>
                <w:b w:val="0"/>
                <w:sz w:val="22"/>
                <w:szCs w:val="22"/>
              </w:rPr>
              <w:t>A-</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87–89</w:t>
            </w:r>
          </w:p>
        </w:tc>
        <w:tc>
          <w:tcPr>
            <w:tcW w:w="720" w:type="dxa"/>
          </w:tcPr>
          <w:p w:rsidR="00A118DC" w:rsidRPr="00A6174C" w:rsidRDefault="00A118DC" w:rsidP="00A118DC">
            <w:pPr>
              <w:rPr>
                <w:b w:val="0"/>
                <w:sz w:val="22"/>
                <w:szCs w:val="22"/>
              </w:rPr>
            </w:pPr>
            <w:r w:rsidRPr="00A6174C">
              <w:rPr>
                <w:b w:val="0"/>
                <w:sz w:val="22"/>
                <w:szCs w:val="22"/>
              </w:rPr>
              <w:t>B+</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83–86</w:t>
            </w:r>
          </w:p>
        </w:tc>
        <w:tc>
          <w:tcPr>
            <w:tcW w:w="720" w:type="dxa"/>
          </w:tcPr>
          <w:p w:rsidR="00A118DC" w:rsidRPr="00A6174C" w:rsidRDefault="00A118DC" w:rsidP="00A118DC">
            <w:pPr>
              <w:rPr>
                <w:b w:val="0"/>
                <w:sz w:val="22"/>
                <w:szCs w:val="22"/>
              </w:rPr>
            </w:pPr>
            <w:r w:rsidRPr="00A6174C">
              <w:rPr>
                <w:b w:val="0"/>
                <w:sz w:val="22"/>
                <w:szCs w:val="22"/>
              </w:rPr>
              <w:t>B</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80–82</w:t>
            </w:r>
          </w:p>
        </w:tc>
        <w:tc>
          <w:tcPr>
            <w:tcW w:w="720" w:type="dxa"/>
          </w:tcPr>
          <w:p w:rsidR="00A118DC" w:rsidRPr="00A6174C" w:rsidRDefault="00A118DC" w:rsidP="00A118DC">
            <w:pPr>
              <w:rPr>
                <w:b w:val="0"/>
                <w:sz w:val="22"/>
                <w:szCs w:val="22"/>
              </w:rPr>
            </w:pPr>
            <w:r w:rsidRPr="00A6174C">
              <w:rPr>
                <w:b w:val="0"/>
                <w:sz w:val="22"/>
                <w:szCs w:val="22"/>
              </w:rPr>
              <w:t>B-</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77–79</w:t>
            </w:r>
          </w:p>
        </w:tc>
        <w:tc>
          <w:tcPr>
            <w:tcW w:w="720" w:type="dxa"/>
          </w:tcPr>
          <w:p w:rsidR="00A118DC" w:rsidRPr="00A6174C" w:rsidRDefault="00A118DC" w:rsidP="00A118DC">
            <w:pPr>
              <w:rPr>
                <w:b w:val="0"/>
                <w:sz w:val="22"/>
                <w:szCs w:val="22"/>
              </w:rPr>
            </w:pPr>
            <w:r w:rsidRPr="00A6174C">
              <w:rPr>
                <w:b w:val="0"/>
                <w:sz w:val="22"/>
                <w:szCs w:val="22"/>
              </w:rPr>
              <w:t>C+</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73–76</w:t>
            </w:r>
          </w:p>
        </w:tc>
        <w:tc>
          <w:tcPr>
            <w:tcW w:w="720" w:type="dxa"/>
          </w:tcPr>
          <w:p w:rsidR="00A118DC" w:rsidRPr="00A6174C" w:rsidRDefault="00A118DC" w:rsidP="00A118DC">
            <w:pPr>
              <w:rPr>
                <w:b w:val="0"/>
                <w:sz w:val="22"/>
                <w:szCs w:val="22"/>
              </w:rPr>
            </w:pPr>
            <w:r w:rsidRPr="00A6174C">
              <w:rPr>
                <w:b w:val="0"/>
                <w:sz w:val="22"/>
                <w:szCs w:val="22"/>
              </w:rPr>
              <w:t>C</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70–72</w:t>
            </w:r>
          </w:p>
        </w:tc>
        <w:tc>
          <w:tcPr>
            <w:tcW w:w="720" w:type="dxa"/>
          </w:tcPr>
          <w:p w:rsidR="00A118DC" w:rsidRPr="00A6174C" w:rsidRDefault="00A118DC" w:rsidP="00A118DC">
            <w:pPr>
              <w:rPr>
                <w:b w:val="0"/>
                <w:sz w:val="22"/>
                <w:szCs w:val="22"/>
              </w:rPr>
            </w:pPr>
            <w:r w:rsidRPr="00A6174C">
              <w:rPr>
                <w:b w:val="0"/>
                <w:sz w:val="22"/>
                <w:szCs w:val="22"/>
              </w:rPr>
              <w:t>C-</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67–69</w:t>
            </w:r>
          </w:p>
        </w:tc>
        <w:tc>
          <w:tcPr>
            <w:tcW w:w="720" w:type="dxa"/>
          </w:tcPr>
          <w:p w:rsidR="00A118DC" w:rsidRPr="00A6174C" w:rsidRDefault="00A118DC" w:rsidP="00A118DC">
            <w:pPr>
              <w:rPr>
                <w:b w:val="0"/>
                <w:sz w:val="22"/>
                <w:szCs w:val="22"/>
              </w:rPr>
            </w:pPr>
            <w:r w:rsidRPr="00A6174C">
              <w:rPr>
                <w:b w:val="0"/>
                <w:sz w:val="22"/>
                <w:szCs w:val="22"/>
              </w:rPr>
              <w:t>D+</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63–66</w:t>
            </w:r>
          </w:p>
        </w:tc>
        <w:tc>
          <w:tcPr>
            <w:tcW w:w="720" w:type="dxa"/>
          </w:tcPr>
          <w:p w:rsidR="00A118DC" w:rsidRPr="00A6174C" w:rsidRDefault="00A118DC" w:rsidP="00A118DC">
            <w:pPr>
              <w:rPr>
                <w:b w:val="0"/>
                <w:sz w:val="22"/>
                <w:szCs w:val="22"/>
              </w:rPr>
            </w:pPr>
            <w:r w:rsidRPr="00A6174C">
              <w:rPr>
                <w:b w:val="0"/>
                <w:sz w:val="22"/>
                <w:szCs w:val="22"/>
              </w:rPr>
              <w:t>D</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60–62</w:t>
            </w:r>
          </w:p>
        </w:tc>
        <w:tc>
          <w:tcPr>
            <w:tcW w:w="720" w:type="dxa"/>
          </w:tcPr>
          <w:p w:rsidR="00A118DC" w:rsidRPr="00A6174C" w:rsidRDefault="00A118DC" w:rsidP="00A118DC">
            <w:pPr>
              <w:rPr>
                <w:b w:val="0"/>
                <w:sz w:val="22"/>
                <w:szCs w:val="22"/>
              </w:rPr>
            </w:pPr>
            <w:r w:rsidRPr="00A6174C">
              <w:rPr>
                <w:b w:val="0"/>
                <w:sz w:val="22"/>
                <w:szCs w:val="22"/>
              </w:rPr>
              <w:t>D-</w:t>
            </w:r>
          </w:p>
        </w:tc>
      </w:tr>
      <w:tr w:rsidR="00A118DC" w:rsidRPr="00A6174C">
        <w:trPr>
          <w:jc w:val="center"/>
        </w:trPr>
        <w:tc>
          <w:tcPr>
            <w:tcW w:w="1638" w:type="dxa"/>
          </w:tcPr>
          <w:p w:rsidR="00A118DC" w:rsidRPr="00A6174C" w:rsidRDefault="00A118DC" w:rsidP="00A118DC">
            <w:pPr>
              <w:rPr>
                <w:b w:val="0"/>
                <w:sz w:val="22"/>
                <w:szCs w:val="22"/>
              </w:rPr>
            </w:pPr>
            <w:r w:rsidRPr="00A6174C">
              <w:rPr>
                <w:b w:val="0"/>
                <w:sz w:val="22"/>
                <w:szCs w:val="22"/>
              </w:rPr>
              <w:t>59 and below</w:t>
            </w:r>
          </w:p>
        </w:tc>
        <w:tc>
          <w:tcPr>
            <w:tcW w:w="720" w:type="dxa"/>
          </w:tcPr>
          <w:p w:rsidR="00A118DC" w:rsidRPr="00A6174C" w:rsidRDefault="00A118DC" w:rsidP="00A118DC">
            <w:pPr>
              <w:rPr>
                <w:b w:val="0"/>
                <w:sz w:val="22"/>
                <w:szCs w:val="22"/>
              </w:rPr>
            </w:pPr>
            <w:r w:rsidRPr="00A6174C">
              <w:rPr>
                <w:b w:val="0"/>
                <w:sz w:val="22"/>
                <w:szCs w:val="22"/>
              </w:rPr>
              <w:t>F</w:t>
            </w:r>
          </w:p>
        </w:tc>
      </w:tr>
    </w:tbl>
    <w:p w:rsidR="00A118DC" w:rsidRPr="00A6174C" w:rsidRDefault="00A118DC" w:rsidP="00A118DC">
      <w:pPr>
        <w:rPr>
          <w:rFonts w:eastAsia="ＭＳ 明朝"/>
          <w:b w:val="0"/>
          <w:szCs w:val="24"/>
        </w:rPr>
        <w:sectPr w:rsidR="00A118DC" w:rsidRPr="00A6174C">
          <w:type w:val="continuous"/>
          <w:pgSz w:w="12240" w:h="15840"/>
          <w:pgMar w:top="1440" w:right="1800" w:bottom="576" w:left="1800" w:gutter="0"/>
          <w:cols w:num="2"/>
          <w:docGrid w:linePitch="360"/>
        </w:sectPr>
      </w:pPr>
    </w:p>
    <w:p w:rsidR="004424F4" w:rsidRPr="004424F4" w:rsidRDefault="004424F4" w:rsidP="00A118DC">
      <w:pPr>
        <w:rPr>
          <w:bCs/>
          <w:sz w:val="22"/>
        </w:rPr>
      </w:pPr>
    </w:p>
    <w:p w:rsidR="00FE5B5B" w:rsidRPr="00FE5B5B" w:rsidRDefault="00FE5B5B" w:rsidP="009E5632">
      <w:pPr>
        <w:pStyle w:val="BodyText"/>
        <w:rPr>
          <w:b/>
          <w:bCs w:val="0"/>
          <w:szCs w:val="24"/>
        </w:rPr>
      </w:pPr>
      <w:r w:rsidRPr="00FE5B5B">
        <w:rPr>
          <w:b/>
          <w:bCs w:val="0"/>
          <w:szCs w:val="24"/>
        </w:rPr>
        <w:t>Blackboard:</w:t>
      </w:r>
    </w:p>
    <w:p w:rsidR="00FE5B5B" w:rsidRPr="00FE5B5B" w:rsidRDefault="00FE5B5B" w:rsidP="00FE5B5B">
      <w:pPr>
        <w:pStyle w:val="BodyText"/>
        <w:rPr>
          <w:sz w:val="22"/>
          <w:szCs w:val="22"/>
        </w:rPr>
      </w:pPr>
      <w:r w:rsidRPr="00FE5B5B">
        <w:rPr>
          <w:sz w:val="22"/>
          <w:szCs w:val="22"/>
        </w:rPr>
        <w:t xml:space="preserve">I will be posting all class-related materials on Blackboard, and </w:t>
      </w:r>
      <w:r w:rsidRPr="00FE5B5B">
        <w:rPr>
          <w:i/>
          <w:sz w:val="22"/>
          <w:szCs w:val="22"/>
        </w:rPr>
        <w:t>you are responsible for checking both Blackboard and your official University email several times per week</w:t>
      </w:r>
      <w:r w:rsidR="00E30840">
        <w:rPr>
          <w:sz w:val="22"/>
          <w:szCs w:val="22"/>
        </w:rPr>
        <w:t xml:space="preserve">. </w:t>
      </w:r>
      <w:r w:rsidRPr="00FE5B5B">
        <w:rPr>
          <w:sz w:val="22"/>
          <w:szCs w:val="22"/>
        </w:rPr>
        <w:t>You can access Blackboard by going to http://blackboard.montclair.edu</w:t>
      </w:r>
      <w:r w:rsidR="00E30840">
        <w:rPr>
          <w:sz w:val="22"/>
          <w:szCs w:val="22"/>
        </w:rPr>
        <w:t xml:space="preserve">. </w:t>
      </w:r>
      <w:r w:rsidRPr="00FE5B5B">
        <w:rPr>
          <w:sz w:val="22"/>
          <w:szCs w:val="22"/>
        </w:rPr>
        <w:t>Use the same password you use to access your Montclair-based email account</w:t>
      </w:r>
      <w:r w:rsidR="00E30840">
        <w:rPr>
          <w:sz w:val="22"/>
          <w:szCs w:val="22"/>
        </w:rPr>
        <w:t xml:space="preserve">. </w:t>
      </w:r>
      <w:r w:rsidRPr="00FE5B5B">
        <w:rPr>
          <w:sz w:val="22"/>
          <w:szCs w:val="22"/>
        </w:rPr>
        <w:t>I will be using Blackboard as a way of disseminating information and assignments</w:t>
      </w:r>
      <w:r w:rsidR="00E30840">
        <w:rPr>
          <w:sz w:val="22"/>
          <w:szCs w:val="22"/>
        </w:rPr>
        <w:t xml:space="preserve">. </w:t>
      </w:r>
      <w:r w:rsidRPr="00FE5B5B">
        <w:rPr>
          <w:sz w:val="22"/>
          <w:szCs w:val="22"/>
        </w:rPr>
        <w:t>You may also gain access to current grade information on Blackboard</w:t>
      </w:r>
      <w:r w:rsidR="00AC0EE1">
        <w:rPr>
          <w:sz w:val="22"/>
          <w:szCs w:val="22"/>
        </w:rPr>
        <w:t xml:space="preserve"> after each test</w:t>
      </w:r>
      <w:r w:rsidR="00E30840">
        <w:rPr>
          <w:sz w:val="22"/>
          <w:szCs w:val="22"/>
        </w:rPr>
        <w:t xml:space="preserve">. </w:t>
      </w:r>
      <w:r w:rsidRPr="00FE5B5B">
        <w:rPr>
          <w:sz w:val="22"/>
          <w:szCs w:val="22"/>
        </w:rPr>
        <w:t>If you do not use Montclair’s email system, please arrange to have your email forwarded to your active account</w:t>
      </w:r>
      <w:r w:rsidR="00E30840">
        <w:rPr>
          <w:sz w:val="22"/>
          <w:szCs w:val="22"/>
        </w:rPr>
        <w:t xml:space="preserve">. </w:t>
      </w:r>
      <w:r w:rsidRPr="00FE5B5B">
        <w:rPr>
          <w:sz w:val="22"/>
          <w:szCs w:val="22"/>
        </w:rPr>
        <w:t>The Office of Information and Technology (</w:t>
      </w:r>
      <w:hyperlink r:id="rId8" w:history="1">
        <w:r w:rsidRPr="00FE5B5B">
          <w:rPr>
            <w:rStyle w:val="Hyperlink"/>
            <w:sz w:val="22"/>
            <w:szCs w:val="22"/>
          </w:rPr>
          <w:t>http://oit.montclair.edu</w:t>
        </w:r>
      </w:hyperlink>
      <w:r w:rsidRPr="00FE5B5B">
        <w:rPr>
          <w:sz w:val="22"/>
          <w:szCs w:val="22"/>
        </w:rPr>
        <w:t>) can help you with any questions about your Blackboard account</w:t>
      </w:r>
      <w:r w:rsidR="00E30840">
        <w:rPr>
          <w:sz w:val="22"/>
          <w:szCs w:val="22"/>
        </w:rPr>
        <w:t xml:space="preserve">. </w:t>
      </w:r>
    </w:p>
    <w:p w:rsidR="00FE5B5B" w:rsidRDefault="00FE5B5B" w:rsidP="009E5632">
      <w:pPr>
        <w:pStyle w:val="BodyText"/>
        <w:rPr>
          <w:b/>
          <w:bCs w:val="0"/>
          <w:szCs w:val="24"/>
        </w:rPr>
      </w:pPr>
    </w:p>
    <w:p w:rsidR="009E5632" w:rsidRPr="009E5632" w:rsidRDefault="009E5632" w:rsidP="009E5632">
      <w:pPr>
        <w:pStyle w:val="BodyText"/>
        <w:rPr>
          <w:b/>
          <w:bCs w:val="0"/>
          <w:szCs w:val="24"/>
        </w:rPr>
      </w:pPr>
      <w:r w:rsidRPr="009E5632">
        <w:rPr>
          <w:b/>
          <w:bCs w:val="0"/>
          <w:szCs w:val="24"/>
        </w:rPr>
        <w:t xml:space="preserve">Contacting me:  </w:t>
      </w:r>
    </w:p>
    <w:p w:rsidR="009E5632" w:rsidRDefault="009E5632" w:rsidP="009E5632">
      <w:pPr>
        <w:rPr>
          <w:b w:val="0"/>
          <w:bCs/>
          <w:sz w:val="22"/>
        </w:rPr>
      </w:pPr>
      <w:r>
        <w:rPr>
          <w:b w:val="0"/>
          <w:bCs/>
          <w:sz w:val="22"/>
        </w:rPr>
        <w:t>Email is generally the best way to get in touch with me</w:t>
      </w:r>
      <w:r w:rsidR="00E30840">
        <w:rPr>
          <w:b w:val="0"/>
          <w:bCs/>
          <w:sz w:val="22"/>
        </w:rPr>
        <w:t xml:space="preserve">. </w:t>
      </w:r>
      <w:r>
        <w:rPr>
          <w:b w:val="0"/>
          <w:bCs/>
          <w:sz w:val="22"/>
        </w:rPr>
        <w:t>I encourage you to take advantage of my office hours</w:t>
      </w:r>
      <w:r w:rsidR="00E30840">
        <w:rPr>
          <w:b w:val="0"/>
          <w:bCs/>
          <w:sz w:val="22"/>
        </w:rPr>
        <w:t xml:space="preserve">. </w:t>
      </w:r>
      <w:r w:rsidR="008B3B8A">
        <w:rPr>
          <w:b w:val="0"/>
          <w:bCs/>
          <w:sz w:val="22"/>
        </w:rPr>
        <w:t>You can make an appointment with me if you cannot make the scheduled times.</w:t>
      </w:r>
    </w:p>
    <w:p w:rsidR="009E5632" w:rsidRDefault="009E5632" w:rsidP="009E5632">
      <w:pPr>
        <w:rPr>
          <w:b w:val="0"/>
          <w:bCs/>
          <w:sz w:val="22"/>
        </w:rPr>
      </w:pPr>
    </w:p>
    <w:p w:rsidR="009101FA" w:rsidRDefault="009E5632">
      <w:pPr>
        <w:rPr>
          <w:b w:val="0"/>
          <w:bCs/>
          <w:sz w:val="22"/>
        </w:rPr>
      </w:pPr>
      <w:r>
        <w:rPr>
          <w:b w:val="0"/>
          <w:bCs/>
          <w:sz w:val="22"/>
        </w:rPr>
        <w:t>I look forward to working with each of you</w:t>
      </w:r>
      <w:r w:rsidR="00E30840">
        <w:rPr>
          <w:b w:val="0"/>
          <w:bCs/>
          <w:sz w:val="22"/>
        </w:rPr>
        <w:t xml:space="preserve">. </w:t>
      </w:r>
      <w:r>
        <w:rPr>
          <w:b w:val="0"/>
          <w:bCs/>
          <w:sz w:val="22"/>
        </w:rPr>
        <w:t>Have a great semester!</w:t>
      </w:r>
      <w:bookmarkStart w:id="0" w:name="_GoBack"/>
      <w:bookmarkEnd w:id="0"/>
    </w:p>
    <w:sectPr w:rsidR="009101FA" w:rsidSect="002E79CA">
      <w:type w:val="continuous"/>
      <w:pgSz w:w="12240" w:h="15840"/>
      <w:pgMar w:top="81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50613" w:rsidRDefault="00D50613" w:rsidP="000D4833">
      <w:r>
        <w:separator/>
      </w:r>
    </w:p>
  </w:endnote>
  <w:endnote w:type="continuationSeparator" w:id="1">
    <w:p w:rsidR="00D50613" w:rsidRDefault="00D50613" w:rsidP="000D483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Palatino Linotype">
    <w:altName w:val="Palatino"/>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50613" w:rsidRDefault="00D50613" w:rsidP="000D4833">
      <w:r>
        <w:separator/>
      </w:r>
    </w:p>
  </w:footnote>
  <w:footnote w:type="continuationSeparator" w:id="1">
    <w:p w:rsidR="00D50613" w:rsidRDefault="00D50613" w:rsidP="000D4833">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683021"/>
    <w:multiLevelType w:val="hybridMultilevel"/>
    <w:tmpl w:val="3B56DB7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3312D6"/>
    <w:multiLevelType w:val="hybridMultilevel"/>
    <w:tmpl w:val="0944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25478"/>
    <w:multiLevelType w:val="hybridMultilevel"/>
    <w:tmpl w:val="88EEBAB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3F2E05B8"/>
    <w:multiLevelType w:val="hybridMultilevel"/>
    <w:tmpl w:val="475A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848E5"/>
    <w:multiLevelType w:val="hybridMultilevel"/>
    <w:tmpl w:val="5E88E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06D0B"/>
    <w:rsid w:val="00023FB8"/>
    <w:rsid w:val="000300F2"/>
    <w:rsid w:val="00034BFC"/>
    <w:rsid w:val="00060BF7"/>
    <w:rsid w:val="000678F0"/>
    <w:rsid w:val="000A36CD"/>
    <w:rsid w:val="000A7313"/>
    <w:rsid w:val="000C598C"/>
    <w:rsid w:val="000D4833"/>
    <w:rsid w:val="000D5C95"/>
    <w:rsid w:val="000D6C4D"/>
    <w:rsid w:val="00111039"/>
    <w:rsid w:val="001115D2"/>
    <w:rsid w:val="00111ECA"/>
    <w:rsid w:val="001202DE"/>
    <w:rsid w:val="0014352B"/>
    <w:rsid w:val="0017498A"/>
    <w:rsid w:val="001753B9"/>
    <w:rsid w:val="00177E58"/>
    <w:rsid w:val="001A75D0"/>
    <w:rsid w:val="001D3CF0"/>
    <w:rsid w:val="001D6E58"/>
    <w:rsid w:val="00202399"/>
    <w:rsid w:val="00242C44"/>
    <w:rsid w:val="00243108"/>
    <w:rsid w:val="002624BB"/>
    <w:rsid w:val="00270553"/>
    <w:rsid w:val="0027349E"/>
    <w:rsid w:val="002776EE"/>
    <w:rsid w:val="0028113D"/>
    <w:rsid w:val="002B267D"/>
    <w:rsid w:val="002C2D92"/>
    <w:rsid w:val="002C791C"/>
    <w:rsid w:val="002E79CA"/>
    <w:rsid w:val="002F0BAB"/>
    <w:rsid w:val="003024D5"/>
    <w:rsid w:val="00344D83"/>
    <w:rsid w:val="00382E35"/>
    <w:rsid w:val="00390044"/>
    <w:rsid w:val="003917ED"/>
    <w:rsid w:val="0039186E"/>
    <w:rsid w:val="003B719E"/>
    <w:rsid w:val="003F1A4C"/>
    <w:rsid w:val="004068E8"/>
    <w:rsid w:val="00411695"/>
    <w:rsid w:val="004424F4"/>
    <w:rsid w:val="00480387"/>
    <w:rsid w:val="004A40BB"/>
    <w:rsid w:val="004C3F96"/>
    <w:rsid w:val="004D4F20"/>
    <w:rsid w:val="004D6105"/>
    <w:rsid w:val="005027C8"/>
    <w:rsid w:val="00503272"/>
    <w:rsid w:val="00506C48"/>
    <w:rsid w:val="00525FFF"/>
    <w:rsid w:val="00555D03"/>
    <w:rsid w:val="00556CAE"/>
    <w:rsid w:val="00590211"/>
    <w:rsid w:val="00590CC2"/>
    <w:rsid w:val="0059700C"/>
    <w:rsid w:val="00597433"/>
    <w:rsid w:val="005A35E3"/>
    <w:rsid w:val="005C0F3F"/>
    <w:rsid w:val="005C475F"/>
    <w:rsid w:val="005C7345"/>
    <w:rsid w:val="005E1484"/>
    <w:rsid w:val="0064466D"/>
    <w:rsid w:val="00671FAC"/>
    <w:rsid w:val="00681CF3"/>
    <w:rsid w:val="00681D55"/>
    <w:rsid w:val="00683CA7"/>
    <w:rsid w:val="006C3656"/>
    <w:rsid w:val="006F2F2C"/>
    <w:rsid w:val="007221D2"/>
    <w:rsid w:val="007429F2"/>
    <w:rsid w:val="0077004B"/>
    <w:rsid w:val="00774E53"/>
    <w:rsid w:val="007903B3"/>
    <w:rsid w:val="007B0C2E"/>
    <w:rsid w:val="007D4882"/>
    <w:rsid w:val="00837627"/>
    <w:rsid w:val="00863354"/>
    <w:rsid w:val="008918AD"/>
    <w:rsid w:val="008A5309"/>
    <w:rsid w:val="008B3B8A"/>
    <w:rsid w:val="008C0A86"/>
    <w:rsid w:val="008E0EC8"/>
    <w:rsid w:val="008F0F56"/>
    <w:rsid w:val="008F1987"/>
    <w:rsid w:val="009101FA"/>
    <w:rsid w:val="00954848"/>
    <w:rsid w:val="0096115D"/>
    <w:rsid w:val="009658B2"/>
    <w:rsid w:val="00967484"/>
    <w:rsid w:val="00981521"/>
    <w:rsid w:val="009825AE"/>
    <w:rsid w:val="009914E2"/>
    <w:rsid w:val="009B3AFF"/>
    <w:rsid w:val="009D5756"/>
    <w:rsid w:val="009E4A41"/>
    <w:rsid w:val="009E5632"/>
    <w:rsid w:val="009F27E3"/>
    <w:rsid w:val="009F6579"/>
    <w:rsid w:val="00A118DC"/>
    <w:rsid w:val="00A26913"/>
    <w:rsid w:val="00A3094F"/>
    <w:rsid w:val="00A401E0"/>
    <w:rsid w:val="00A5171E"/>
    <w:rsid w:val="00A6174C"/>
    <w:rsid w:val="00A768A1"/>
    <w:rsid w:val="00A90199"/>
    <w:rsid w:val="00A91DEA"/>
    <w:rsid w:val="00AB0F3B"/>
    <w:rsid w:val="00AC0EE1"/>
    <w:rsid w:val="00AF32E5"/>
    <w:rsid w:val="00B152FE"/>
    <w:rsid w:val="00B33C56"/>
    <w:rsid w:val="00B66D0C"/>
    <w:rsid w:val="00B723BA"/>
    <w:rsid w:val="00BA7AE0"/>
    <w:rsid w:val="00BC4567"/>
    <w:rsid w:val="00C10B18"/>
    <w:rsid w:val="00C17508"/>
    <w:rsid w:val="00C26790"/>
    <w:rsid w:val="00C9375B"/>
    <w:rsid w:val="00C959D9"/>
    <w:rsid w:val="00CA52EF"/>
    <w:rsid w:val="00CB069B"/>
    <w:rsid w:val="00CD0E78"/>
    <w:rsid w:val="00CF2258"/>
    <w:rsid w:val="00CF560A"/>
    <w:rsid w:val="00D4259D"/>
    <w:rsid w:val="00D44F84"/>
    <w:rsid w:val="00D50613"/>
    <w:rsid w:val="00D610AF"/>
    <w:rsid w:val="00D7036D"/>
    <w:rsid w:val="00DA24F2"/>
    <w:rsid w:val="00DA2BF3"/>
    <w:rsid w:val="00DD3E4B"/>
    <w:rsid w:val="00DF786A"/>
    <w:rsid w:val="00E30840"/>
    <w:rsid w:val="00E34256"/>
    <w:rsid w:val="00E83B6D"/>
    <w:rsid w:val="00E869B0"/>
    <w:rsid w:val="00EC2DF1"/>
    <w:rsid w:val="00EC3DFD"/>
    <w:rsid w:val="00EE2AD1"/>
    <w:rsid w:val="00EE6831"/>
    <w:rsid w:val="00EF03B1"/>
    <w:rsid w:val="00F06D0B"/>
    <w:rsid w:val="00F10BD3"/>
    <w:rsid w:val="00F15518"/>
    <w:rsid w:val="00F26818"/>
    <w:rsid w:val="00F50663"/>
    <w:rsid w:val="00F53710"/>
    <w:rsid w:val="00F64D45"/>
    <w:rsid w:val="00F6698B"/>
    <w:rsid w:val="00FA0501"/>
    <w:rsid w:val="00FC4674"/>
    <w:rsid w:val="00FE5B5B"/>
    <w:rsid w:val="00FE7D13"/>
  </w:rsids>
  <m:mathPr>
    <m:mathFont m:val="Californian FB"/>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A86"/>
    <w:rPr>
      <w:b/>
      <w:sz w:val="24"/>
    </w:rPr>
  </w:style>
  <w:style w:type="paragraph" w:styleId="Heading1">
    <w:name w:val="heading 1"/>
    <w:basedOn w:val="Normal"/>
    <w:next w:val="Normal"/>
    <w:qFormat/>
    <w:rsid w:val="008C0A86"/>
    <w:pPr>
      <w:keepNext/>
      <w:jc w:val="center"/>
      <w:outlineLvl w:val="0"/>
    </w:pPr>
  </w:style>
  <w:style w:type="paragraph" w:styleId="Heading2">
    <w:name w:val="heading 2"/>
    <w:basedOn w:val="Normal"/>
    <w:next w:val="Normal"/>
    <w:link w:val="Heading2Char"/>
    <w:uiPriority w:val="9"/>
    <w:qFormat/>
    <w:rsid w:val="008C0A86"/>
    <w:pPr>
      <w:keepNext/>
      <w:outlineLvl w:val="1"/>
    </w:pPr>
    <w:rPr>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C0A86"/>
    <w:rPr>
      <w:color w:val="0000FF"/>
      <w:u w:val="single"/>
    </w:rPr>
  </w:style>
  <w:style w:type="paragraph" w:styleId="BodyText">
    <w:name w:val="Body Text"/>
    <w:basedOn w:val="Normal"/>
    <w:rsid w:val="008C0A86"/>
    <w:rPr>
      <w:b w:val="0"/>
      <w:bCs/>
    </w:rPr>
  </w:style>
  <w:style w:type="paragraph" w:styleId="Title">
    <w:name w:val="Title"/>
    <w:basedOn w:val="Normal"/>
    <w:qFormat/>
    <w:rsid w:val="008C0A86"/>
    <w:pPr>
      <w:jc w:val="center"/>
    </w:pPr>
    <w:rPr>
      <w:sz w:val="32"/>
    </w:rPr>
  </w:style>
  <w:style w:type="character" w:styleId="CommentReference">
    <w:name w:val="annotation reference"/>
    <w:basedOn w:val="DefaultParagraphFont"/>
    <w:rsid w:val="00503272"/>
    <w:rPr>
      <w:sz w:val="16"/>
      <w:szCs w:val="16"/>
    </w:rPr>
  </w:style>
  <w:style w:type="paragraph" w:styleId="CommentText">
    <w:name w:val="annotation text"/>
    <w:basedOn w:val="Normal"/>
    <w:link w:val="CommentTextChar"/>
    <w:rsid w:val="00503272"/>
    <w:rPr>
      <w:sz w:val="20"/>
    </w:rPr>
  </w:style>
  <w:style w:type="character" w:customStyle="1" w:styleId="CommentTextChar">
    <w:name w:val="Comment Text Char"/>
    <w:basedOn w:val="DefaultParagraphFont"/>
    <w:link w:val="CommentText"/>
    <w:rsid w:val="00503272"/>
    <w:rPr>
      <w:b/>
    </w:rPr>
  </w:style>
  <w:style w:type="paragraph" w:styleId="CommentSubject">
    <w:name w:val="annotation subject"/>
    <w:basedOn w:val="CommentText"/>
    <w:next w:val="CommentText"/>
    <w:link w:val="CommentSubjectChar"/>
    <w:rsid w:val="00503272"/>
    <w:rPr>
      <w:bCs/>
    </w:rPr>
  </w:style>
  <w:style w:type="character" w:customStyle="1" w:styleId="CommentSubjectChar">
    <w:name w:val="Comment Subject Char"/>
    <w:basedOn w:val="CommentTextChar"/>
    <w:link w:val="CommentSubject"/>
    <w:rsid w:val="00503272"/>
    <w:rPr>
      <w:b/>
      <w:bCs/>
    </w:rPr>
  </w:style>
  <w:style w:type="paragraph" w:styleId="BalloonText">
    <w:name w:val="Balloon Text"/>
    <w:basedOn w:val="Normal"/>
    <w:link w:val="BalloonTextChar"/>
    <w:rsid w:val="00503272"/>
    <w:rPr>
      <w:rFonts w:ascii="Tahoma" w:hAnsi="Tahoma" w:cs="Tahoma"/>
      <w:sz w:val="16"/>
      <w:szCs w:val="16"/>
    </w:rPr>
  </w:style>
  <w:style w:type="character" w:customStyle="1" w:styleId="BalloonTextChar">
    <w:name w:val="Balloon Text Char"/>
    <w:basedOn w:val="DefaultParagraphFont"/>
    <w:link w:val="BalloonText"/>
    <w:rsid w:val="00503272"/>
    <w:rPr>
      <w:rFonts w:ascii="Tahoma" w:hAnsi="Tahoma" w:cs="Tahoma"/>
      <w:b/>
      <w:sz w:val="16"/>
      <w:szCs w:val="16"/>
    </w:rPr>
  </w:style>
  <w:style w:type="paragraph" w:styleId="Header">
    <w:name w:val="header"/>
    <w:basedOn w:val="Normal"/>
    <w:link w:val="HeaderChar"/>
    <w:rsid w:val="000D4833"/>
    <w:pPr>
      <w:tabs>
        <w:tab w:val="center" w:pos="4680"/>
        <w:tab w:val="right" w:pos="9360"/>
      </w:tabs>
    </w:pPr>
  </w:style>
  <w:style w:type="character" w:customStyle="1" w:styleId="HeaderChar">
    <w:name w:val="Header Char"/>
    <w:basedOn w:val="DefaultParagraphFont"/>
    <w:link w:val="Header"/>
    <w:rsid w:val="000D4833"/>
    <w:rPr>
      <w:b/>
      <w:sz w:val="24"/>
    </w:rPr>
  </w:style>
  <w:style w:type="paragraph" w:styleId="Footer">
    <w:name w:val="footer"/>
    <w:basedOn w:val="Normal"/>
    <w:link w:val="FooterChar"/>
    <w:rsid w:val="000D4833"/>
    <w:pPr>
      <w:tabs>
        <w:tab w:val="center" w:pos="4680"/>
        <w:tab w:val="right" w:pos="9360"/>
      </w:tabs>
    </w:pPr>
  </w:style>
  <w:style w:type="character" w:customStyle="1" w:styleId="FooterChar">
    <w:name w:val="Footer Char"/>
    <w:basedOn w:val="DefaultParagraphFont"/>
    <w:link w:val="Footer"/>
    <w:rsid w:val="000D4833"/>
    <w:rPr>
      <w:b/>
      <w:sz w:val="24"/>
    </w:rPr>
  </w:style>
  <w:style w:type="paragraph" w:styleId="ListParagraph">
    <w:name w:val="List Paragraph"/>
    <w:basedOn w:val="Normal"/>
    <w:uiPriority w:val="34"/>
    <w:qFormat/>
    <w:rsid w:val="0096115D"/>
    <w:pPr>
      <w:ind w:left="720"/>
      <w:contextualSpacing/>
    </w:pPr>
  </w:style>
  <w:style w:type="character" w:customStyle="1" w:styleId="Heading2Char">
    <w:name w:val="Heading 2 Char"/>
    <w:basedOn w:val="DefaultParagraphFont"/>
    <w:link w:val="Heading2"/>
    <w:uiPriority w:val="9"/>
    <w:rsid w:val="009914E2"/>
    <w:rPr>
      <w:b/>
      <w:sz w:val="22"/>
    </w:rPr>
  </w:style>
  <w:style w:type="character" w:styleId="Strong">
    <w:name w:val="Strong"/>
    <w:basedOn w:val="DefaultParagraphFont"/>
    <w:uiPriority w:val="22"/>
    <w:qFormat/>
    <w:rsid w:val="009914E2"/>
    <w:rPr>
      <w:b/>
      <w:bCs/>
    </w:rPr>
  </w:style>
  <w:style w:type="character" w:styleId="FollowedHyperlink">
    <w:name w:val="FollowedHyperlink"/>
    <w:basedOn w:val="DefaultParagraphFont"/>
    <w:rsid w:val="002F0BAB"/>
    <w:rPr>
      <w:color w:val="800080" w:themeColor="followedHyperlink"/>
      <w:u w:val="single"/>
    </w:rPr>
  </w:style>
  <w:style w:type="table" w:styleId="TableGrid">
    <w:name w:val="Table Grid"/>
    <w:basedOn w:val="TableNormal"/>
    <w:uiPriority w:val="59"/>
    <w:rsid w:val="00A6174C"/>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A86"/>
    <w:rPr>
      <w:b/>
      <w:sz w:val="24"/>
    </w:rPr>
  </w:style>
  <w:style w:type="paragraph" w:styleId="Heading1">
    <w:name w:val="heading 1"/>
    <w:basedOn w:val="Normal"/>
    <w:next w:val="Normal"/>
    <w:qFormat/>
    <w:rsid w:val="008C0A86"/>
    <w:pPr>
      <w:keepNext/>
      <w:jc w:val="center"/>
      <w:outlineLvl w:val="0"/>
    </w:pPr>
  </w:style>
  <w:style w:type="paragraph" w:styleId="Heading2">
    <w:name w:val="heading 2"/>
    <w:basedOn w:val="Normal"/>
    <w:next w:val="Normal"/>
    <w:link w:val="Heading2Char"/>
    <w:uiPriority w:val="9"/>
    <w:qFormat/>
    <w:rsid w:val="008C0A86"/>
    <w:pPr>
      <w:keepNex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A86"/>
    <w:rPr>
      <w:color w:val="0000FF"/>
      <w:u w:val="single"/>
    </w:rPr>
  </w:style>
  <w:style w:type="paragraph" w:styleId="BodyText">
    <w:name w:val="Body Text"/>
    <w:basedOn w:val="Normal"/>
    <w:rsid w:val="008C0A86"/>
    <w:rPr>
      <w:b w:val="0"/>
      <w:bCs/>
    </w:rPr>
  </w:style>
  <w:style w:type="paragraph" w:styleId="Title">
    <w:name w:val="Title"/>
    <w:basedOn w:val="Normal"/>
    <w:qFormat/>
    <w:rsid w:val="008C0A86"/>
    <w:pPr>
      <w:jc w:val="center"/>
    </w:pPr>
    <w:rPr>
      <w:sz w:val="32"/>
    </w:rPr>
  </w:style>
  <w:style w:type="character" w:styleId="CommentReference">
    <w:name w:val="annotation reference"/>
    <w:basedOn w:val="DefaultParagraphFont"/>
    <w:rsid w:val="00503272"/>
    <w:rPr>
      <w:sz w:val="16"/>
      <w:szCs w:val="16"/>
    </w:rPr>
  </w:style>
  <w:style w:type="paragraph" w:styleId="CommentText">
    <w:name w:val="annotation text"/>
    <w:basedOn w:val="Normal"/>
    <w:link w:val="CommentTextChar"/>
    <w:rsid w:val="00503272"/>
    <w:rPr>
      <w:sz w:val="20"/>
    </w:rPr>
  </w:style>
  <w:style w:type="character" w:customStyle="1" w:styleId="CommentTextChar">
    <w:name w:val="Comment Text Char"/>
    <w:basedOn w:val="DefaultParagraphFont"/>
    <w:link w:val="CommentText"/>
    <w:rsid w:val="00503272"/>
    <w:rPr>
      <w:b/>
    </w:rPr>
  </w:style>
  <w:style w:type="paragraph" w:styleId="CommentSubject">
    <w:name w:val="annotation subject"/>
    <w:basedOn w:val="CommentText"/>
    <w:next w:val="CommentText"/>
    <w:link w:val="CommentSubjectChar"/>
    <w:rsid w:val="00503272"/>
    <w:rPr>
      <w:bCs/>
    </w:rPr>
  </w:style>
  <w:style w:type="character" w:customStyle="1" w:styleId="CommentSubjectChar">
    <w:name w:val="Comment Subject Char"/>
    <w:basedOn w:val="CommentTextChar"/>
    <w:link w:val="CommentSubject"/>
    <w:rsid w:val="00503272"/>
    <w:rPr>
      <w:b/>
      <w:bCs/>
    </w:rPr>
  </w:style>
  <w:style w:type="paragraph" w:styleId="BalloonText">
    <w:name w:val="Balloon Text"/>
    <w:basedOn w:val="Normal"/>
    <w:link w:val="BalloonTextChar"/>
    <w:rsid w:val="00503272"/>
    <w:rPr>
      <w:rFonts w:ascii="Tahoma" w:hAnsi="Tahoma" w:cs="Tahoma"/>
      <w:sz w:val="16"/>
      <w:szCs w:val="16"/>
    </w:rPr>
  </w:style>
  <w:style w:type="character" w:customStyle="1" w:styleId="BalloonTextChar">
    <w:name w:val="Balloon Text Char"/>
    <w:basedOn w:val="DefaultParagraphFont"/>
    <w:link w:val="BalloonText"/>
    <w:rsid w:val="00503272"/>
    <w:rPr>
      <w:rFonts w:ascii="Tahoma" w:hAnsi="Tahoma" w:cs="Tahoma"/>
      <w:b/>
      <w:sz w:val="16"/>
      <w:szCs w:val="16"/>
    </w:rPr>
  </w:style>
  <w:style w:type="paragraph" w:styleId="Header">
    <w:name w:val="header"/>
    <w:basedOn w:val="Normal"/>
    <w:link w:val="HeaderChar"/>
    <w:rsid w:val="000D4833"/>
    <w:pPr>
      <w:tabs>
        <w:tab w:val="center" w:pos="4680"/>
        <w:tab w:val="right" w:pos="9360"/>
      </w:tabs>
    </w:pPr>
  </w:style>
  <w:style w:type="character" w:customStyle="1" w:styleId="HeaderChar">
    <w:name w:val="Header Char"/>
    <w:basedOn w:val="DefaultParagraphFont"/>
    <w:link w:val="Header"/>
    <w:rsid w:val="000D4833"/>
    <w:rPr>
      <w:b/>
      <w:sz w:val="24"/>
    </w:rPr>
  </w:style>
  <w:style w:type="paragraph" w:styleId="Footer">
    <w:name w:val="footer"/>
    <w:basedOn w:val="Normal"/>
    <w:link w:val="FooterChar"/>
    <w:rsid w:val="000D4833"/>
    <w:pPr>
      <w:tabs>
        <w:tab w:val="center" w:pos="4680"/>
        <w:tab w:val="right" w:pos="9360"/>
      </w:tabs>
    </w:pPr>
  </w:style>
  <w:style w:type="character" w:customStyle="1" w:styleId="FooterChar">
    <w:name w:val="Footer Char"/>
    <w:basedOn w:val="DefaultParagraphFont"/>
    <w:link w:val="Footer"/>
    <w:rsid w:val="000D4833"/>
    <w:rPr>
      <w:b/>
      <w:sz w:val="24"/>
    </w:rPr>
  </w:style>
  <w:style w:type="paragraph" w:styleId="ListParagraph">
    <w:name w:val="List Paragraph"/>
    <w:basedOn w:val="Normal"/>
    <w:uiPriority w:val="34"/>
    <w:qFormat/>
    <w:rsid w:val="0096115D"/>
    <w:pPr>
      <w:ind w:left="720"/>
      <w:contextualSpacing/>
    </w:pPr>
  </w:style>
  <w:style w:type="character" w:customStyle="1" w:styleId="Heading2Char">
    <w:name w:val="Heading 2 Char"/>
    <w:basedOn w:val="DefaultParagraphFont"/>
    <w:link w:val="Heading2"/>
    <w:uiPriority w:val="9"/>
    <w:rsid w:val="009914E2"/>
    <w:rPr>
      <w:b/>
      <w:sz w:val="22"/>
    </w:rPr>
  </w:style>
  <w:style w:type="character" w:styleId="Strong">
    <w:name w:val="Strong"/>
    <w:basedOn w:val="DefaultParagraphFont"/>
    <w:uiPriority w:val="22"/>
    <w:qFormat/>
    <w:rsid w:val="009914E2"/>
    <w:rPr>
      <w:b/>
      <w:bCs/>
    </w:rPr>
  </w:style>
  <w:style w:type="character" w:styleId="FollowedHyperlink">
    <w:name w:val="FollowedHyperlink"/>
    <w:basedOn w:val="DefaultParagraphFont"/>
    <w:rsid w:val="002F0B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9974571">
      <w:bodyDiv w:val="1"/>
      <w:marLeft w:val="0"/>
      <w:marRight w:val="0"/>
      <w:marTop w:val="0"/>
      <w:marBottom w:val="0"/>
      <w:divBdr>
        <w:top w:val="none" w:sz="0" w:space="0" w:color="auto"/>
        <w:left w:val="none" w:sz="0" w:space="0" w:color="auto"/>
        <w:bottom w:val="none" w:sz="0" w:space="0" w:color="auto"/>
        <w:right w:val="none" w:sz="0" w:space="0" w:color="auto"/>
      </w:divBdr>
    </w:div>
    <w:div w:id="328945499">
      <w:bodyDiv w:val="1"/>
      <w:marLeft w:val="0"/>
      <w:marRight w:val="0"/>
      <w:marTop w:val="0"/>
      <w:marBottom w:val="0"/>
      <w:divBdr>
        <w:top w:val="none" w:sz="0" w:space="0" w:color="auto"/>
        <w:left w:val="none" w:sz="0" w:space="0" w:color="auto"/>
        <w:bottom w:val="none" w:sz="0" w:space="0" w:color="auto"/>
        <w:right w:val="none" w:sz="0" w:space="0" w:color="auto"/>
      </w:divBdr>
    </w:div>
    <w:div w:id="10010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rupae@mail.montclair.edu" TargetMode="External"/><Relationship Id="rId8" Type="http://schemas.openxmlformats.org/officeDocument/2006/relationships/hyperlink" Target="http://oit.montclair.edu"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7566</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Business Calculus II:  Calculus</vt:lpstr>
    </vt:vector>
  </TitlesOfParts>
  <Company>trinity school</Company>
  <LinksUpToDate>false</LinksUpToDate>
  <CharactersWithSpaces>9291</CharactersWithSpaces>
  <SharedDoc>false</SharedDoc>
  <HLinks>
    <vt:vector size="6" baseType="variant">
      <vt:variant>
        <vt:i4>5439514</vt:i4>
      </vt:variant>
      <vt:variant>
        <vt:i4>0</vt:i4>
      </vt:variant>
      <vt:variant>
        <vt:i4>0</vt:i4>
      </vt:variant>
      <vt:variant>
        <vt:i4>5</vt:i4>
      </vt:variant>
      <vt:variant>
        <vt:lpwstr>http://oit.montclair.edu/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Calculus II:  Calculus</dc:title>
  <dc:creator>Mika Munakata</dc:creator>
  <cp:lastModifiedBy>Office of Information Technology</cp:lastModifiedBy>
  <cp:revision>2</cp:revision>
  <cp:lastPrinted>2011-09-09T12:48:00Z</cp:lastPrinted>
  <dcterms:created xsi:type="dcterms:W3CDTF">2014-07-29T21:35:00Z</dcterms:created>
  <dcterms:modified xsi:type="dcterms:W3CDTF">2014-07-29T21:35:00Z</dcterms:modified>
</cp:coreProperties>
</file>